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240" w:lineRule="exact"/>
        <w:rPr>
          <w:rFonts w:ascii="新宋体" w:hAnsi="新宋体" w:eastAsia="方正小标宋简体"/>
          <w:b/>
          <w:bCs/>
          <w:color w:val="FF0000"/>
          <w:w w:val="40"/>
          <w:sz w:val="40"/>
          <w:szCs w:val="40"/>
        </w:rPr>
      </w:pPr>
      <w:bookmarkStart w:id="0" w:name="_GoBack"/>
      <w:bookmarkEnd w:id="0"/>
    </w:p>
    <w:p>
      <w:pPr>
        <w:pStyle w:val="17"/>
        <w:spacing w:line="240" w:lineRule="exact"/>
        <w:rPr>
          <w:rFonts w:ascii="新宋体" w:hAnsi="新宋体"/>
          <w:b/>
        </w:rPr>
      </w:pPr>
    </w:p>
    <w:p>
      <w:pPr>
        <w:pStyle w:val="17"/>
        <w:spacing w:line="240" w:lineRule="exact"/>
        <w:rPr>
          <w:rFonts w:ascii="新宋体" w:hAnsi="新宋体"/>
          <w:b/>
        </w:rPr>
      </w:pPr>
    </w:p>
    <w:p>
      <w:pPr>
        <w:pStyle w:val="17"/>
        <w:spacing w:line="240" w:lineRule="exact"/>
        <w:rPr>
          <w:rFonts w:ascii="新宋体" w:hAnsi="新宋体"/>
          <w:b/>
        </w:rPr>
      </w:pPr>
    </w:p>
    <w:p>
      <w:pPr>
        <w:pStyle w:val="17"/>
        <w:spacing w:line="240" w:lineRule="exact"/>
        <w:rPr>
          <w:rFonts w:ascii="新宋体" w:hAnsi="新宋体"/>
          <w:b/>
        </w:rPr>
      </w:pPr>
    </w:p>
    <w:p>
      <w:pPr>
        <w:overflowPunct w:val="0"/>
        <w:jc w:val="center"/>
        <w:rPr>
          <w:rFonts w:ascii="新宋体" w:hAnsi="新宋体" w:eastAsia="方正小标宋简体"/>
          <w:color w:val="FF0000"/>
          <w:w w:val="45"/>
          <w:sz w:val="146"/>
          <w:szCs w:val="146"/>
        </w:rPr>
      </w:pPr>
      <w:r>
        <w:rPr>
          <w:rFonts w:hint="eastAsia" w:ascii="新宋体" w:hAnsi="新宋体" w:eastAsia="方正小标宋简体" w:cs="方正小标宋简体"/>
          <w:color w:val="FF0000"/>
          <w:w w:val="45"/>
          <w:sz w:val="146"/>
          <w:szCs w:val="146"/>
        </w:rPr>
        <w:t>济南市钢城区人民政府办公室</w:t>
      </w:r>
    </w:p>
    <w:p>
      <w:pPr>
        <w:overflowPunct w:val="0"/>
        <w:spacing w:line="616" w:lineRule="exact"/>
        <w:rPr>
          <w:rFonts w:ascii="新宋体" w:hAnsi="新宋体" w:eastAsia="方正仿宋简体"/>
          <w:b/>
          <w:bCs/>
          <w:color w:val="FF0000"/>
          <w:w w:val="45"/>
          <w:szCs w:val="32"/>
        </w:rPr>
      </w:pPr>
    </w:p>
    <w:p>
      <w:pPr>
        <w:overflowPunct w:val="0"/>
        <w:spacing w:line="616" w:lineRule="exact"/>
        <w:jc w:val="center"/>
        <w:rPr>
          <w:rFonts w:ascii="新宋体" w:hAnsi="新宋体" w:eastAsia="文星仿宋"/>
          <w:b/>
          <w:bCs/>
          <w:sz w:val="32"/>
          <w:szCs w:val="32"/>
        </w:rPr>
      </w:pPr>
      <w:r>
        <w:rPr>
          <w:rFonts w:hint="eastAsia" w:ascii="新宋体" w:hAnsi="新宋体" w:eastAsia="文星仿宋" w:cs="文星仿宋"/>
          <w:b/>
          <w:bCs/>
          <w:sz w:val="32"/>
          <w:szCs w:val="32"/>
        </w:rPr>
        <w:t>钢城政办字〔</w:t>
      </w:r>
      <w:r>
        <w:rPr>
          <w:rFonts w:ascii="新宋体" w:hAnsi="新宋体" w:eastAsia="文星仿宋" w:cs="新宋体"/>
          <w:b/>
          <w:bCs/>
          <w:sz w:val="32"/>
          <w:szCs w:val="32"/>
        </w:rPr>
        <w:t>202</w:t>
      </w:r>
      <w:r>
        <w:rPr>
          <w:rFonts w:hint="eastAsia" w:ascii="新宋体" w:hAnsi="新宋体" w:eastAsia="文星仿宋" w:cs="新宋体"/>
          <w:b/>
          <w:bCs/>
          <w:sz w:val="32"/>
          <w:szCs w:val="32"/>
        </w:rPr>
        <w:t>2</w:t>
      </w:r>
      <w:r>
        <w:rPr>
          <w:rFonts w:hint="eastAsia" w:ascii="新宋体" w:hAnsi="新宋体" w:eastAsia="文星仿宋" w:cs="文星仿宋"/>
          <w:b/>
          <w:bCs/>
          <w:sz w:val="32"/>
          <w:szCs w:val="32"/>
        </w:rPr>
        <w:t>〕16号</w:t>
      </w:r>
    </w:p>
    <w:p>
      <w:pPr>
        <w:overflowPunct w:val="0"/>
        <w:autoSpaceDE/>
        <w:autoSpaceDN/>
        <w:spacing w:line="590" w:lineRule="exact"/>
        <w:ind w:firstLine="357"/>
        <w:jc w:val="both"/>
        <w:rPr>
          <w:rFonts w:ascii="新宋体" w:hAnsi="新宋体" w:eastAsia="文星标宋"/>
          <w:b/>
          <w:bCs/>
          <w:sz w:val="44"/>
          <w:szCs w:val="44"/>
        </w:rPr>
      </w:pPr>
      <w:r>
        <w:rPr>
          <w:rFonts w:ascii="新宋体" w:hAnsi="新宋体" w:eastAsia="文星标宋"/>
          <w:b/>
          <w:snapToGrid w:val="0"/>
        </w:rPr>
        <mc:AlternateContent>
          <mc:Choice Requires="wps">
            <w:drawing>
              <wp:anchor distT="0" distB="0" distL="114300" distR="114300" simplePos="0" relativeHeight="251659264" behindDoc="1" locked="0" layoutInCell="1" allowOverlap="1">
                <wp:simplePos x="0" y="0"/>
                <wp:positionH relativeFrom="column">
                  <wp:align>center</wp:align>
                </wp:positionH>
                <wp:positionV relativeFrom="paragraph">
                  <wp:posOffset>35560</wp:posOffset>
                </wp:positionV>
                <wp:extent cx="5615940" cy="0"/>
                <wp:effectExtent l="0" t="9525" r="10160" b="15875"/>
                <wp:wrapNone/>
                <wp:docPr id="1" name="直线 2"/>
                <wp:cNvGraphicFramePr/>
                <a:graphic xmlns:a="http://schemas.openxmlformats.org/drawingml/2006/main">
                  <a:graphicData uri="http://schemas.microsoft.com/office/word/2010/wordprocessingShape">
                    <wps:wsp>
                      <wps:cNvSpPr/>
                      <wps:spPr>
                        <a:xfrm>
                          <a:off x="0" y="0"/>
                          <a:ext cx="5615940" cy="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margin-top:2.8pt;height:0pt;width:442.2pt;mso-position-horizontal:center;z-index:-251657216;mso-width-relative:page;mso-height-relative:page;" filled="f" stroked="t" coordsize="21600,21600" o:gfxdata="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Iu5IODUAAAA&#10;BAEAAA8AAAAAAAAAAQAgAAAAIgAAAGRycy9kb3ducmV2LnhtbFBLAQIUABQAAAAIAIdO4kD1I4Zy&#10;6AEAANwDAAAOAAAAAAAAAAEAIAAAACMBAABkcnMvZTJvRG9jLnhtbFBLBQYAAAAABgAGAFkBAAB9&#10;BQAAAAA=&#10;">
                <v:fill on="f" focussize="0,0"/>
                <v:stroke weight="1.5pt" color="#FF0000" joinstyle="round"/>
                <v:imagedata o:title=""/>
                <o:lock v:ext="edit" aspectratio="f"/>
              </v:line>
            </w:pict>
          </mc:Fallback>
        </mc:AlternateContent>
      </w:r>
    </w:p>
    <w:p>
      <w:pPr>
        <w:overflowPunct w:val="0"/>
        <w:autoSpaceDE/>
        <w:autoSpaceDN/>
        <w:spacing w:line="590" w:lineRule="exact"/>
        <w:jc w:val="center"/>
        <w:rPr>
          <w:rFonts w:ascii="新宋体" w:hAnsi="新宋体" w:eastAsia="文星标宋"/>
          <w:b/>
          <w:color w:val="000000"/>
          <w:sz w:val="44"/>
          <w:szCs w:val="44"/>
        </w:rPr>
      </w:pPr>
      <w:r>
        <w:rPr>
          <w:rFonts w:hint="eastAsia" w:ascii="新宋体" w:hAnsi="新宋体" w:eastAsia="文星标宋"/>
          <w:b/>
          <w:color w:val="000000"/>
          <w:sz w:val="44"/>
          <w:szCs w:val="44"/>
        </w:rPr>
        <w:t>济南市钢城区人民政府办公室</w:t>
      </w:r>
    </w:p>
    <w:p>
      <w:pPr>
        <w:overflowPunct w:val="0"/>
        <w:autoSpaceDE/>
        <w:autoSpaceDN/>
        <w:spacing w:line="590" w:lineRule="exact"/>
        <w:jc w:val="center"/>
        <w:rPr>
          <w:rFonts w:ascii="新宋体" w:hAnsi="新宋体" w:eastAsia="文星标宋"/>
          <w:b/>
          <w:color w:val="000000"/>
          <w:sz w:val="44"/>
          <w:szCs w:val="44"/>
        </w:rPr>
      </w:pPr>
      <w:r>
        <w:rPr>
          <w:rFonts w:hint="eastAsia" w:ascii="新宋体" w:hAnsi="新宋体" w:eastAsia="文星标宋"/>
          <w:b/>
          <w:color w:val="000000"/>
          <w:sz w:val="44"/>
          <w:szCs w:val="44"/>
        </w:rPr>
        <w:t>关于印发济南市钢城区加快推进大众创业</w:t>
      </w:r>
    </w:p>
    <w:p>
      <w:pPr>
        <w:overflowPunct w:val="0"/>
        <w:autoSpaceDE/>
        <w:autoSpaceDN/>
        <w:spacing w:line="590" w:lineRule="exact"/>
        <w:jc w:val="center"/>
        <w:rPr>
          <w:rFonts w:ascii="新宋体" w:hAnsi="新宋体" w:eastAsia="方正小标宋简体" w:cs="方正小标宋简体"/>
          <w:b/>
          <w:sz w:val="44"/>
          <w:szCs w:val="44"/>
          <w:lang w:val="en-US"/>
        </w:rPr>
      </w:pPr>
      <w:r>
        <w:rPr>
          <w:rFonts w:hint="eastAsia" w:ascii="新宋体" w:hAnsi="新宋体" w:eastAsia="文星标宋"/>
          <w:b/>
          <w:color w:val="000000"/>
          <w:sz w:val="44"/>
          <w:szCs w:val="44"/>
        </w:rPr>
        <w:t>万众创新工作方案（2022-2025年）的通知</w:t>
      </w:r>
    </w:p>
    <w:p>
      <w:pPr>
        <w:overflowPunct w:val="0"/>
        <w:autoSpaceDE/>
        <w:autoSpaceDN/>
        <w:spacing w:line="590" w:lineRule="exact"/>
        <w:jc w:val="both"/>
        <w:rPr>
          <w:rFonts w:ascii="新宋体" w:hAnsi="新宋体" w:eastAsia="方正仿宋简体"/>
          <w:b/>
          <w:color w:val="000000"/>
          <w:sz w:val="32"/>
          <w:szCs w:val="32"/>
        </w:rPr>
      </w:pPr>
    </w:p>
    <w:p>
      <w:pPr>
        <w:overflowPunct w:val="0"/>
        <w:autoSpaceDE/>
        <w:autoSpaceDN/>
        <w:spacing w:line="590" w:lineRule="exact"/>
        <w:jc w:val="both"/>
        <w:rPr>
          <w:rFonts w:ascii="新宋体" w:hAnsi="新宋体" w:eastAsia="文星仿宋"/>
          <w:b/>
          <w:sz w:val="32"/>
          <w:szCs w:val="32"/>
        </w:rPr>
      </w:pPr>
      <w:r>
        <w:rPr>
          <w:rFonts w:hint="eastAsia" w:ascii="新宋体" w:hAnsi="新宋体" w:eastAsia="文星仿宋"/>
          <w:b/>
          <w:sz w:val="32"/>
          <w:szCs w:val="32"/>
        </w:rPr>
        <w:t>各街道（功能区）办事处（管委会），区政府各部门，区属各企事业单位：</w:t>
      </w:r>
    </w:p>
    <w:p>
      <w:pPr>
        <w:overflowPunct w:val="0"/>
        <w:autoSpaceDE/>
        <w:autoSpaceDN/>
        <w:spacing w:line="590" w:lineRule="exact"/>
        <w:ind w:firstLine="641" w:firstLineChars="200"/>
        <w:jc w:val="both"/>
        <w:rPr>
          <w:rFonts w:ascii="新宋体" w:hAnsi="新宋体" w:eastAsia="文星仿宋"/>
          <w:b/>
          <w:sz w:val="32"/>
          <w:szCs w:val="32"/>
        </w:rPr>
      </w:pPr>
      <w:r>
        <w:rPr>
          <w:rFonts w:hint="eastAsia" w:ascii="新宋体" w:hAnsi="新宋体" w:eastAsia="文星仿宋"/>
          <w:b/>
          <w:sz w:val="32"/>
          <w:szCs w:val="32"/>
        </w:rPr>
        <w:t>经区政府同意，现将《济南市钢城区加快推进大众创业万众创新工作方案（2022-2025年）》印发给你们，请认真组织实施。</w:t>
      </w:r>
    </w:p>
    <w:p>
      <w:pPr>
        <w:overflowPunct w:val="0"/>
        <w:autoSpaceDE/>
        <w:autoSpaceDN/>
        <w:spacing w:line="590" w:lineRule="exact"/>
        <w:jc w:val="both"/>
        <w:rPr>
          <w:rFonts w:ascii="新宋体" w:hAnsi="新宋体" w:eastAsia="文星仿宋"/>
          <w:b/>
          <w:sz w:val="32"/>
          <w:szCs w:val="32"/>
        </w:rPr>
      </w:pPr>
    </w:p>
    <w:p>
      <w:pPr>
        <w:overflowPunct w:val="0"/>
        <w:autoSpaceDE/>
        <w:autoSpaceDN/>
        <w:spacing w:line="590" w:lineRule="exact"/>
        <w:ind w:firstLine="3684" w:firstLineChars="1150"/>
        <w:jc w:val="both"/>
        <w:rPr>
          <w:rFonts w:ascii="新宋体" w:hAnsi="新宋体" w:eastAsia="文星仿宋"/>
          <w:b/>
          <w:sz w:val="32"/>
          <w:szCs w:val="32"/>
        </w:rPr>
      </w:pPr>
    </w:p>
    <w:p>
      <w:pPr>
        <w:wordWrap w:val="0"/>
        <w:overflowPunct w:val="0"/>
        <w:autoSpaceDE/>
        <w:autoSpaceDN/>
        <w:spacing w:line="590" w:lineRule="exact"/>
        <w:ind w:firstLine="3684" w:firstLineChars="1150"/>
        <w:jc w:val="right"/>
        <w:rPr>
          <w:rFonts w:ascii="新宋体" w:hAnsi="新宋体" w:eastAsia="文星仿宋"/>
          <w:b/>
          <w:sz w:val="32"/>
          <w:szCs w:val="32"/>
        </w:rPr>
      </w:pPr>
      <w:r>
        <w:rPr>
          <w:rFonts w:hint="eastAsia" w:ascii="新宋体" w:hAnsi="新宋体" w:eastAsia="文星仿宋"/>
          <w:b/>
          <w:sz w:val="32"/>
          <w:szCs w:val="32"/>
        </w:rPr>
        <w:t xml:space="preserve">济南市钢城区人民政府办公室    </w:t>
      </w:r>
    </w:p>
    <w:p>
      <w:pPr>
        <w:wordWrap w:val="0"/>
        <w:overflowPunct w:val="0"/>
        <w:autoSpaceDE/>
        <w:autoSpaceDN/>
        <w:spacing w:line="590" w:lineRule="exact"/>
        <w:ind w:firstLine="4500" w:firstLineChars="1405"/>
        <w:jc w:val="right"/>
        <w:rPr>
          <w:rFonts w:ascii="新宋体" w:hAnsi="新宋体" w:eastAsia="方正仿宋简体"/>
          <w:b/>
          <w:sz w:val="32"/>
          <w:szCs w:val="32"/>
        </w:rPr>
      </w:pPr>
      <w:r>
        <w:rPr>
          <w:rFonts w:hint="eastAsia" w:ascii="新宋体" w:hAnsi="新宋体" w:eastAsia="文星仿宋"/>
          <w:b/>
          <w:sz w:val="32"/>
          <w:szCs w:val="32"/>
        </w:rPr>
        <w:t>2022年11月18日</w:t>
      </w:r>
      <w:r>
        <w:rPr>
          <w:rFonts w:hint="eastAsia" w:ascii="新宋体" w:hAnsi="新宋体" w:eastAsia="文星仿宋"/>
          <w:b/>
          <w:spacing w:val="-2"/>
          <w:sz w:val="32"/>
          <w:szCs w:val="32"/>
        </w:rPr>
        <w:t xml:space="preserve">         </w:t>
      </w:r>
    </w:p>
    <w:p>
      <w:pPr>
        <w:overflowPunct w:val="0"/>
        <w:autoSpaceDE/>
        <w:autoSpaceDN/>
        <w:spacing w:line="590" w:lineRule="exact"/>
        <w:ind w:firstLine="641" w:firstLineChars="200"/>
        <w:rPr>
          <w:rFonts w:ascii="新宋体" w:hAnsi="新宋体" w:eastAsia="文星仿宋"/>
          <w:b/>
          <w:sz w:val="32"/>
          <w:szCs w:val="32"/>
        </w:rPr>
      </w:pPr>
      <w:r>
        <w:rPr>
          <w:rFonts w:hint="eastAsia" w:ascii="新宋体" w:hAnsi="新宋体" w:eastAsia="文星仿宋"/>
          <w:b/>
          <w:sz w:val="32"/>
          <w:szCs w:val="32"/>
        </w:rPr>
        <w:t>（此件公开发布）</w:t>
      </w:r>
    </w:p>
    <w:p>
      <w:pPr>
        <w:pStyle w:val="5"/>
        <w:overflowPunct w:val="0"/>
        <w:autoSpaceDE/>
        <w:autoSpaceDN/>
        <w:spacing w:line="616" w:lineRule="exact"/>
        <w:jc w:val="both"/>
        <w:rPr>
          <w:rFonts w:ascii="新宋体" w:hAnsi="新宋体" w:eastAsia="方正小标宋简体" w:cs="方正小标宋简体"/>
          <w:b/>
          <w:sz w:val="44"/>
          <w:szCs w:val="44"/>
          <w:lang w:val="en-US"/>
        </w:rPr>
      </w:pPr>
    </w:p>
    <w:p>
      <w:pPr>
        <w:pStyle w:val="5"/>
        <w:overflowPunct w:val="0"/>
        <w:autoSpaceDE/>
        <w:autoSpaceDN/>
        <w:spacing w:line="616" w:lineRule="exact"/>
        <w:jc w:val="center"/>
        <w:rPr>
          <w:rFonts w:ascii="新宋体" w:hAnsi="新宋体" w:eastAsia="文星标宋" w:cs="方正小标宋简体"/>
          <w:b/>
          <w:sz w:val="44"/>
          <w:szCs w:val="44"/>
          <w:lang w:val="en-US"/>
        </w:rPr>
      </w:pPr>
      <w:r>
        <w:rPr>
          <w:rFonts w:hint="eastAsia" w:ascii="新宋体" w:hAnsi="新宋体" w:eastAsia="文星标宋" w:cs="方正小标宋简体"/>
          <w:b/>
          <w:sz w:val="44"/>
          <w:szCs w:val="44"/>
          <w:lang w:val="en-US"/>
        </w:rPr>
        <w:t>济南市钢城区加快推进大众创业万众创新</w:t>
      </w:r>
    </w:p>
    <w:p>
      <w:pPr>
        <w:pStyle w:val="5"/>
        <w:overflowPunct w:val="0"/>
        <w:autoSpaceDE/>
        <w:autoSpaceDN/>
        <w:spacing w:line="616" w:lineRule="exact"/>
        <w:jc w:val="center"/>
        <w:rPr>
          <w:rFonts w:ascii="新宋体" w:hAnsi="新宋体" w:eastAsia="文星标宋" w:cs="方正小标宋简体"/>
          <w:b/>
          <w:sz w:val="44"/>
          <w:szCs w:val="44"/>
          <w:lang w:val="en-US"/>
        </w:rPr>
      </w:pPr>
      <w:r>
        <w:rPr>
          <w:rFonts w:hint="eastAsia" w:ascii="新宋体" w:hAnsi="新宋体" w:eastAsia="文星标宋" w:cs="方正小标宋简体"/>
          <w:b/>
          <w:sz w:val="44"/>
          <w:szCs w:val="44"/>
          <w:lang w:val="en-US"/>
        </w:rPr>
        <w:t>工作方案（2022-2025年）</w:t>
      </w:r>
    </w:p>
    <w:p>
      <w:pPr>
        <w:pStyle w:val="5"/>
        <w:overflowPunct w:val="0"/>
        <w:autoSpaceDE/>
        <w:autoSpaceDN/>
        <w:spacing w:line="616" w:lineRule="exact"/>
        <w:ind w:firstLine="643" w:firstLineChars="200"/>
        <w:jc w:val="both"/>
        <w:rPr>
          <w:rFonts w:ascii="新宋体" w:hAnsi="新宋体" w:eastAsia="仿宋_GB2312" w:cs="仿宋_GB2312"/>
          <w:b/>
        </w:rPr>
      </w:pPr>
    </w:p>
    <w:p>
      <w:pPr>
        <w:pStyle w:val="5"/>
        <w:overflowPunct w:val="0"/>
        <w:autoSpaceDE/>
        <w:autoSpaceDN/>
        <w:spacing w:line="616" w:lineRule="exact"/>
        <w:ind w:firstLine="641" w:firstLineChars="200"/>
        <w:jc w:val="both"/>
        <w:rPr>
          <w:rFonts w:ascii="新宋体" w:hAnsi="新宋体" w:eastAsia="文星仿宋" w:cs="仿宋_GB2312"/>
          <w:b/>
        </w:rPr>
      </w:pPr>
      <w:r>
        <w:rPr>
          <w:rFonts w:hint="eastAsia" w:ascii="新宋体" w:hAnsi="新宋体" w:eastAsia="文星仿宋" w:cs="仿宋_GB2312"/>
          <w:b/>
        </w:rPr>
        <w:t>大众创业万众创新是深入实施创新驱动发展战略、推动新旧动能转换和经济结构转型升级的重要抓手。为推动新业态发展，激发各类创业创新主体活力和创造力，打造创业创新良好生态，特制定本方案。</w:t>
      </w:r>
    </w:p>
    <w:p>
      <w:pPr>
        <w:pStyle w:val="5"/>
        <w:overflowPunct w:val="0"/>
        <w:autoSpaceDE/>
        <w:autoSpaceDN/>
        <w:spacing w:line="616" w:lineRule="exact"/>
        <w:ind w:firstLine="643" w:firstLineChars="200"/>
        <w:jc w:val="both"/>
        <w:rPr>
          <w:rFonts w:ascii="新宋体" w:hAnsi="新宋体" w:eastAsia="黑体" w:cs="黑体"/>
          <w:b/>
        </w:rPr>
      </w:pPr>
      <w:r>
        <w:rPr>
          <w:rFonts w:hint="eastAsia" w:ascii="新宋体" w:hAnsi="新宋体" w:eastAsia="黑体" w:cs="黑体"/>
          <w:b/>
        </w:rPr>
        <w:t>一、总体要求</w:t>
      </w:r>
    </w:p>
    <w:p>
      <w:pPr>
        <w:pStyle w:val="5"/>
        <w:overflowPunct w:val="0"/>
        <w:autoSpaceDE/>
        <w:autoSpaceDN/>
        <w:spacing w:line="616" w:lineRule="exact"/>
        <w:ind w:firstLine="641" w:firstLineChars="200"/>
        <w:jc w:val="both"/>
        <w:rPr>
          <w:rFonts w:ascii="新宋体" w:hAnsi="新宋体" w:eastAsia="文星仿宋" w:cs="仿宋_GB2312"/>
          <w:b/>
        </w:rPr>
      </w:pPr>
      <w:r>
        <w:rPr>
          <w:rFonts w:hint="eastAsia" w:ascii="新宋体" w:hAnsi="新宋体" w:eastAsia="文星仿宋" w:cs="仿宋_GB2312"/>
          <w:b/>
        </w:rPr>
        <w:t>抢抓强省会战略机遇期，着力打造“东强”新引擎，认真落实区委区政府决策部署，主动作为，攻坚克难。立足新发展阶段，按照“1364”工作思路，打造“东强”战略智造先导区、县域经济高质量发展引领区、黄河流域生态文明建设示范区、省会经济圈“鲁中会客厅”，加快建设现代化高品质美丽钢城。加快实施创新驱动发展战略，发挥科技创新在推动县域发展中的支撑引领作用，强化科技与县域经济的有效衔接，打通从科技强、产业强到经济社会发展强的通道。促进金融与“双创”深度融合，赋能创业创新和高质量发展。依托科研机构、科技型龙头企业，大力发展新兴科技服务业态，完善技术创新服务体系，探索构建创业要素集聚化、创业载体多元化、创业服务专业化、创业活动持续化、创业资源开放化的生态体系，打造区域特色“双创”品牌。</w:t>
      </w:r>
    </w:p>
    <w:p>
      <w:pPr>
        <w:pStyle w:val="5"/>
        <w:overflowPunct w:val="0"/>
        <w:autoSpaceDE/>
        <w:autoSpaceDN/>
        <w:spacing w:line="616" w:lineRule="exact"/>
        <w:ind w:firstLine="643" w:firstLineChars="200"/>
        <w:jc w:val="both"/>
        <w:rPr>
          <w:rFonts w:ascii="新宋体" w:hAnsi="新宋体" w:eastAsia="黑体" w:cs="黑体"/>
          <w:b/>
        </w:rPr>
      </w:pPr>
      <w:r>
        <w:rPr>
          <w:rFonts w:hint="eastAsia" w:ascii="新宋体" w:hAnsi="新宋体" w:eastAsia="黑体" w:cs="黑体"/>
          <w:b/>
        </w:rPr>
        <w:t>二、重点任务</w:t>
      </w:r>
    </w:p>
    <w:p>
      <w:pPr>
        <w:pStyle w:val="5"/>
        <w:overflowPunct w:val="0"/>
        <w:autoSpaceDE/>
        <w:autoSpaceDN/>
        <w:spacing w:line="616" w:lineRule="exact"/>
        <w:ind w:firstLine="641" w:firstLineChars="200"/>
        <w:jc w:val="both"/>
        <w:rPr>
          <w:rFonts w:ascii="新宋体" w:hAnsi="新宋体" w:eastAsia="文星楷体" w:cs="楷体"/>
          <w:b/>
        </w:rPr>
      </w:pPr>
      <w:r>
        <w:rPr>
          <w:rFonts w:hint="eastAsia" w:ascii="新宋体" w:hAnsi="新宋体" w:eastAsia="文星楷体" w:cs="楷体"/>
          <w:b/>
        </w:rPr>
        <w:t>（一）建设创业创新平台，增强支撑能力。</w:t>
      </w:r>
    </w:p>
    <w:p>
      <w:pPr>
        <w:pStyle w:val="5"/>
        <w:overflowPunct w:val="0"/>
        <w:autoSpaceDE/>
        <w:autoSpaceDN/>
        <w:spacing w:line="616" w:lineRule="exact"/>
        <w:ind w:firstLine="641" w:firstLineChars="200"/>
        <w:jc w:val="both"/>
        <w:rPr>
          <w:rFonts w:ascii="新宋体" w:hAnsi="新宋体" w:eastAsia="文星楷体" w:cs="楷体"/>
          <w:b/>
        </w:rPr>
      </w:pPr>
      <w:r>
        <w:rPr>
          <w:rFonts w:hint="eastAsia" w:ascii="新宋体" w:hAnsi="新宋体" w:eastAsia="文星仿宋" w:cs="仿宋_GB2312"/>
          <w:b/>
        </w:rPr>
        <w:t>1.打造创业创新公共服务平台。加强“双创”示范基地、创业孵化基地、众创空间等“双创”平台建设，到“十四五”末，各类“双创”载体平台超过100家。发挥“科创中国”供需双方直接对接网络服务平台作用，鼓励全区企业、金融机构等组织通过平台反映需求、获取资源、寻求合作。</w:t>
      </w:r>
      <w:r>
        <w:rPr>
          <w:rFonts w:hint="eastAsia" w:ascii="新宋体" w:hAnsi="新宋体" w:eastAsia="文星楷体" w:cs="楷体"/>
          <w:b/>
        </w:rPr>
        <w:t>〔责任单位：区发展改革局、区工业和信息化局（区科技局）、区人力资源社会保障局、区科协，各街道、功能区按职能分工负责〕</w:t>
      </w:r>
    </w:p>
    <w:p>
      <w:pPr>
        <w:pStyle w:val="5"/>
        <w:overflowPunct w:val="0"/>
        <w:autoSpaceDE/>
        <w:autoSpaceDN/>
        <w:spacing w:line="616" w:lineRule="exact"/>
        <w:ind w:firstLine="641" w:firstLineChars="200"/>
        <w:jc w:val="both"/>
        <w:rPr>
          <w:rFonts w:ascii="新宋体" w:hAnsi="新宋体" w:eastAsia="文星楷体" w:cs="楷体"/>
          <w:b/>
        </w:rPr>
      </w:pPr>
      <w:r>
        <w:rPr>
          <w:rFonts w:hint="eastAsia" w:ascii="新宋体" w:hAnsi="新宋体" w:eastAsia="文星仿宋" w:cs="仿宋_GB2312"/>
          <w:b/>
        </w:rPr>
        <w:t>2.发展创业创新区域平台。积极探索创业创新体制机制、服务模式等新模式新方法。打造服务科技创新的融资体系、服务创新创业的投融资高地、服务中小微企业发展的金融组织体系。到“十四五”末，科创金融产品和服务创新力度持续增强，科创金融生态环境持续优化，科创金融资源要素市场更加完善，覆盖科技创新全周期的金融生态链基本形成，服务创业创新作用发挥明显。</w:t>
      </w:r>
      <w:r>
        <w:rPr>
          <w:rFonts w:hint="eastAsia" w:ascii="新宋体" w:hAnsi="新宋体" w:eastAsia="文星楷体" w:cs="楷体"/>
          <w:b/>
        </w:rPr>
        <w:t>（责任单位：区工业和信息化局、区地方金融监管局、区金融发展服务中心按职能分工负责）</w:t>
      </w:r>
    </w:p>
    <w:p>
      <w:pPr>
        <w:pStyle w:val="5"/>
        <w:overflowPunct w:val="0"/>
        <w:autoSpaceDE/>
        <w:autoSpaceDN/>
        <w:spacing w:line="616" w:lineRule="exact"/>
        <w:ind w:firstLine="641" w:firstLineChars="200"/>
        <w:jc w:val="both"/>
        <w:rPr>
          <w:rFonts w:ascii="新宋体" w:hAnsi="新宋体" w:eastAsia="文星楷体" w:cs="楷体"/>
          <w:b/>
        </w:rPr>
      </w:pPr>
      <w:r>
        <w:rPr>
          <w:rFonts w:hint="eastAsia" w:ascii="新宋体" w:hAnsi="新宋体" w:eastAsia="文星仿宋" w:cs="仿宋_GB2312"/>
          <w:b/>
        </w:rPr>
        <w:t>3.建好重大科创载体平台。依托钢城经济开发区、各类产业集聚区等平台，引导产业集中集聚发展，支持建设产业转型升级示范园区。紧紧围绕全区重点产业提升，按照“一个产业集群、一个科创平台”的思路，重点推进精品钢、电子材料、粉末冶金、汽车零部件等产业的研发平台建设，支持企业、园区建设产业创新中心、重点实验室、工程技术研究中心、院士工作站等，加快构建多产业、多层次创新平台体系。积极帮助企业申报国家级和省级、市级各级研发平台，推动共享共用，建成科创中心，打造高层次科技创新平台和人才孵化基地。</w:t>
      </w:r>
      <w:r>
        <w:rPr>
          <w:rFonts w:hint="eastAsia" w:ascii="新宋体" w:hAnsi="新宋体" w:eastAsia="文星楷体" w:cs="楷体"/>
          <w:b/>
        </w:rPr>
        <w:t>（责任单位：区科技局、区发展改革局）</w:t>
      </w:r>
    </w:p>
    <w:p>
      <w:pPr>
        <w:pStyle w:val="5"/>
        <w:overflowPunct w:val="0"/>
        <w:autoSpaceDE/>
        <w:autoSpaceDN/>
        <w:spacing w:line="616" w:lineRule="exact"/>
        <w:ind w:firstLine="641" w:firstLineChars="200"/>
        <w:jc w:val="both"/>
        <w:rPr>
          <w:rFonts w:ascii="新宋体" w:hAnsi="新宋体" w:eastAsia="文星楷体" w:cs="楷体"/>
          <w:b/>
        </w:rPr>
      </w:pPr>
      <w:r>
        <w:rPr>
          <w:rFonts w:hint="eastAsia" w:ascii="新宋体" w:hAnsi="新宋体" w:eastAsia="文星楷体" w:cs="楷体"/>
          <w:b/>
        </w:rPr>
        <w:t>（二）推行“双创+”模式，激发新动能。</w:t>
      </w:r>
    </w:p>
    <w:p>
      <w:pPr>
        <w:pStyle w:val="5"/>
        <w:overflowPunct w:val="0"/>
        <w:autoSpaceDE/>
        <w:autoSpaceDN/>
        <w:spacing w:line="616" w:lineRule="exact"/>
        <w:ind w:firstLine="641" w:firstLineChars="200"/>
        <w:jc w:val="both"/>
        <w:rPr>
          <w:rFonts w:ascii="新宋体" w:hAnsi="新宋体" w:eastAsia="文星楷体" w:cs="楷体"/>
          <w:b/>
        </w:rPr>
      </w:pPr>
      <w:r>
        <w:rPr>
          <w:rFonts w:hint="eastAsia" w:ascii="新宋体" w:hAnsi="新宋体" w:eastAsia="文星仿宋" w:cs="仿宋_GB2312"/>
          <w:b/>
        </w:rPr>
        <w:t>4.推行“双创+产业园区”。将产业园区与“双创”结合，在钢城经济开发区、工业园区、产业园区和特色园区搭建共享型“双创”服务平台，建设示范基地、创业创新孵化器、众创空间等“双创”载体，汇聚园区企业科技成果转化、人才等信息资源，开展创业创新活动。通过树立“共享”与“众创”理念，借助“互联网+”等技术工具，增强企业和“创客”的互动性和共建的实时性，提高园区公共资源的共享程度。支持园区建设技能实训平台、知识产权服务平台、研发检测平台等公共技术服务平台，为企业提供创新创业资源。</w:t>
      </w:r>
      <w:r>
        <w:rPr>
          <w:rFonts w:hint="eastAsia" w:ascii="新宋体" w:hAnsi="新宋体" w:eastAsia="文星楷体" w:cs="楷体"/>
          <w:b/>
        </w:rPr>
        <w:t>〔责任单位：区发展改革局、区工业和信息化局（区科技局）、区人力资源社会保障局，各街道、功能区〕</w:t>
      </w:r>
    </w:p>
    <w:p>
      <w:pPr>
        <w:pStyle w:val="5"/>
        <w:overflowPunct w:val="0"/>
        <w:autoSpaceDE/>
        <w:autoSpaceDN/>
        <w:spacing w:line="616" w:lineRule="exact"/>
        <w:ind w:firstLine="640" w:firstLineChars="200"/>
        <w:jc w:val="both"/>
        <w:rPr>
          <w:rFonts w:ascii="新宋体" w:hAnsi="新宋体" w:eastAsia="文星楷体" w:cs="楷体"/>
          <w:b/>
        </w:rPr>
      </w:pPr>
      <w:r>
        <w:rPr>
          <w:rFonts w:hint="eastAsia" w:ascii="新宋体" w:hAnsi="新宋体" w:eastAsia="方正仿宋简体" w:cs="仿宋_GB2312"/>
          <w:b/>
          <w:lang w:val="en-US"/>
        </w:rPr>
        <w:t>5.</w:t>
      </w:r>
      <w:r>
        <w:rPr>
          <w:rFonts w:hint="eastAsia" w:ascii="新宋体" w:hAnsi="新宋体" w:eastAsia="方正仿宋简体" w:cs="仿宋_GB2312"/>
          <w:b/>
        </w:rPr>
        <w:t>推行“</w:t>
      </w:r>
      <w:r>
        <w:rPr>
          <w:rFonts w:hint="eastAsia" w:ascii="新宋体" w:hAnsi="新宋体" w:eastAsia="方正仿宋简体" w:cs="仿宋_GB2312"/>
          <w:b/>
          <w:lang w:val="en-US"/>
        </w:rPr>
        <w:t>双创＋骨干企业</w:t>
      </w:r>
      <w:r>
        <w:rPr>
          <w:rFonts w:hint="eastAsia" w:ascii="新宋体" w:hAnsi="新宋体" w:eastAsia="方正仿宋简体" w:cs="仿宋_GB2312"/>
          <w:b/>
        </w:rPr>
        <w:t>”。</w:t>
      </w:r>
      <w:r>
        <w:rPr>
          <w:rFonts w:hint="eastAsia" w:ascii="新宋体" w:hAnsi="新宋体" w:eastAsia="文星仿宋" w:cs="仿宋_GB2312"/>
          <w:b/>
        </w:rPr>
        <w:t>通过企业成立的众创空间等“双创”平台载体，将管理架构由层级型组织转向平台型组织，将财务管理、人力资源、供应链、技术研发等部门变为公共服务平台，为内部员工创业创新提供公共服务，形成独具特色的骨干企业带动员工“双创”的新模式。支持骨干企业与高校、协会、联盟、重点企业共同举办创业创新活动和“揭榜挂帅”等技术需求专项对接活动，开放重点龙头企业创新资源、场景应用及供应链市场，面向合作机构发布创新需求，推动产学研联合发展和技术成果商业化落地。</w:t>
      </w:r>
      <w:r>
        <w:rPr>
          <w:rFonts w:hint="eastAsia" w:ascii="新宋体" w:hAnsi="新宋体" w:eastAsia="文星楷体" w:cs="楷体"/>
          <w:b/>
        </w:rPr>
        <w:t>〔责任单位：区发展改革局、区工业和信息化局（区科技局）、区人力资源社会保障局〕</w:t>
      </w:r>
    </w:p>
    <w:p>
      <w:pPr>
        <w:pStyle w:val="5"/>
        <w:overflowPunct w:val="0"/>
        <w:autoSpaceDE/>
        <w:autoSpaceDN/>
        <w:spacing w:line="616" w:lineRule="exact"/>
        <w:ind w:firstLine="641" w:firstLineChars="200"/>
        <w:jc w:val="both"/>
        <w:rPr>
          <w:rFonts w:ascii="新宋体" w:hAnsi="新宋体" w:eastAsia="文星楷体" w:cs="楷体"/>
          <w:b/>
        </w:rPr>
      </w:pPr>
      <w:r>
        <w:rPr>
          <w:rFonts w:hint="eastAsia" w:ascii="新宋体" w:hAnsi="新宋体" w:eastAsia="文星楷体" w:cs="楷体"/>
          <w:b/>
        </w:rPr>
        <w:t>（三）创新体制机制，优化创业创新环境。</w:t>
      </w:r>
    </w:p>
    <w:p>
      <w:pPr>
        <w:pStyle w:val="5"/>
        <w:overflowPunct w:val="0"/>
        <w:autoSpaceDE/>
        <w:autoSpaceDN/>
        <w:spacing w:line="616" w:lineRule="exact"/>
        <w:ind w:firstLine="641" w:firstLineChars="200"/>
        <w:jc w:val="both"/>
        <w:rPr>
          <w:rFonts w:ascii="新宋体" w:hAnsi="新宋体" w:eastAsia="文星楷体" w:cs="楷体"/>
          <w:b/>
        </w:rPr>
      </w:pPr>
      <w:r>
        <w:rPr>
          <w:rFonts w:hint="eastAsia" w:ascii="新宋体" w:hAnsi="新宋体" w:eastAsia="文星仿宋" w:cs="仿宋_GB2312"/>
          <w:b/>
        </w:rPr>
        <w:t>6.完善公平竞争的市场环境。持续强化优化营商环境制度供给，清理取消企业在资质资格获取、招投标、政府采购、权益保护等方面存在的差别化待遇。强化公平竞争审查刚性约束，按照“谁制定、谁审查”的原则，开展政策措施公平竞争审查，做到应审尽审，探索创新独立公平竞争审查模式，推动建立第三方评估制度。加强和改进反垄断与反不正当竞争执法，围绕重点领域，配合上级市场监管部门加大反垄断监督执法力度。</w:t>
      </w:r>
      <w:r>
        <w:rPr>
          <w:rFonts w:hint="eastAsia" w:ascii="新宋体" w:hAnsi="新宋体" w:eastAsia="文星楷体" w:cs="楷体"/>
          <w:b/>
        </w:rPr>
        <w:t>（责任单位：区市场监管局）</w:t>
      </w:r>
    </w:p>
    <w:p>
      <w:pPr>
        <w:pStyle w:val="5"/>
        <w:overflowPunct w:val="0"/>
        <w:autoSpaceDE/>
        <w:autoSpaceDN/>
        <w:spacing w:line="616" w:lineRule="exact"/>
        <w:ind w:firstLine="641" w:firstLineChars="200"/>
        <w:jc w:val="both"/>
        <w:rPr>
          <w:rFonts w:ascii="新宋体" w:hAnsi="新宋体" w:eastAsia="文星楷体" w:cs="楷体"/>
          <w:b/>
        </w:rPr>
      </w:pPr>
      <w:r>
        <w:rPr>
          <w:rFonts w:hint="eastAsia" w:ascii="新宋体" w:hAnsi="新宋体" w:eastAsia="文星仿宋" w:cs="仿宋_GB2312"/>
          <w:b/>
        </w:rPr>
        <w:t>7.深化商事制度改革。持续推进“放管服”改革，提升政务服务“双全双百”工程，深化“一网通办”“一链办理”，实现企业开办全流程一环节、零成本、半天办结。贯彻落实工程建设项目审批制度改革优化提升方案，持续推进工程建设项目审批制度改革。依托济南市企业服务综合智慧平台落实优惠政策集中推送机制，实行标签化管理。深化“证照分离”改革，全面应用电子证照，逐步实现电子印章与电子营业执照全面同步发放，提高企业开办便利化水平。</w:t>
      </w:r>
      <w:r>
        <w:rPr>
          <w:rFonts w:hint="eastAsia" w:ascii="新宋体" w:hAnsi="新宋体" w:eastAsia="文星楷体" w:cs="楷体"/>
          <w:b/>
        </w:rPr>
        <w:t>（责任单位：区行政审批服务局）</w:t>
      </w:r>
    </w:p>
    <w:p>
      <w:pPr>
        <w:pStyle w:val="5"/>
        <w:overflowPunct w:val="0"/>
        <w:autoSpaceDE/>
        <w:autoSpaceDN/>
        <w:spacing w:line="616" w:lineRule="exact"/>
        <w:ind w:firstLine="641" w:firstLineChars="200"/>
        <w:jc w:val="both"/>
        <w:rPr>
          <w:rFonts w:ascii="新宋体" w:hAnsi="新宋体" w:eastAsia="文星楷体" w:cs="楷体"/>
          <w:b/>
        </w:rPr>
      </w:pPr>
      <w:r>
        <w:rPr>
          <w:rFonts w:hint="eastAsia" w:ascii="新宋体" w:hAnsi="新宋体" w:eastAsia="文星仿宋" w:cs="仿宋_GB2312"/>
          <w:b/>
        </w:rPr>
        <w:t>8.提高科技服务供给质量。聚焦科技成果“供给端”“吸纳端”，提供一站式、生态化全流程服务，打通科技创新要素向企业集聚、科技成果向企业输出通道。鼓励中小微企业、创新创业团队和“创客”开展创新创业活动，资助其向高校、科研院所及其他服务机构购买用于创新发展的管理咨询、研发、中试、检验检测、创业辅导、投资融资等专业服务。</w:t>
      </w:r>
      <w:r>
        <w:rPr>
          <w:rFonts w:hint="eastAsia" w:ascii="新宋体" w:hAnsi="新宋体" w:eastAsia="文星楷体" w:cs="楷体"/>
          <w:b/>
        </w:rPr>
        <w:t>（责任单位：区科技局）</w:t>
      </w:r>
    </w:p>
    <w:p>
      <w:pPr>
        <w:pStyle w:val="5"/>
        <w:overflowPunct w:val="0"/>
        <w:autoSpaceDE/>
        <w:autoSpaceDN/>
        <w:spacing w:line="616" w:lineRule="exact"/>
        <w:ind w:firstLine="641" w:firstLineChars="200"/>
        <w:jc w:val="both"/>
        <w:rPr>
          <w:rFonts w:ascii="新宋体" w:hAnsi="新宋体" w:eastAsia="文星楷体" w:cs="楷体"/>
          <w:b/>
        </w:rPr>
      </w:pPr>
      <w:r>
        <w:rPr>
          <w:rFonts w:hint="eastAsia" w:ascii="新宋体" w:hAnsi="新宋体" w:eastAsia="文星仿宋" w:cs="仿宋_GB2312"/>
          <w:b/>
        </w:rPr>
        <w:t>9.建立健全尽职免责机制。秉持鼓励创新、宽容失误的理念，对双创主体和管理主体在科技体制改革和创新创业工作中出现探索性失误，但已勤勉尽责、未谋取私利、未违反法律法规的禁止性规定、未造成重大损失和社会负面影响的，经过相应的决策程序，可免除相关责任，不作负面评价。突出正向激励导向，完善双创工作容错纠错程序，形成“容错申请、调查启动、调查核实、组织认定”的全链式工作流程，畅通容错免责渠道。</w:t>
      </w:r>
      <w:r>
        <w:rPr>
          <w:rFonts w:hint="eastAsia" w:ascii="新宋体" w:hAnsi="新宋体" w:eastAsia="文星楷体" w:cs="楷体"/>
          <w:b/>
        </w:rPr>
        <w:t>（责任单位：相关部门单位）</w:t>
      </w:r>
    </w:p>
    <w:p>
      <w:pPr>
        <w:pStyle w:val="5"/>
        <w:overflowPunct w:val="0"/>
        <w:autoSpaceDE/>
        <w:autoSpaceDN/>
        <w:spacing w:line="616" w:lineRule="exact"/>
        <w:ind w:firstLine="641" w:firstLineChars="200"/>
        <w:jc w:val="both"/>
        <w:rPr>
          <w:rFonts w:ascii="新宋体" w:hAnsi="新宋体" w:eastAsia="文星楷体" w:cs="楷体"/>
          <w:b/>
        </w:rPr>
      </w:pPr>
      <w:r>
        <w:rPr>
          <w:rFonts w:hint="eastAsia" w:ascii="新宋体" w:hAnsi="新宋体" w:eastAsia="文星仿宋" w:cs="仿宋_GB2312"/>
          <w:b/>
        </w:rPr>
        <w:t>10.加强创业创新知识产权保护。提高知识产权创造质量，调整资助和奖励政策，全面取消对商标、专利申请阶段的资助和奖励，科学设定高质量发展指标，推动知识产权工作从追求数量向提高质量转变。聚焦市场主体和创新主体需求，开展知识产权行政执法专项行动，依法惩治恶意侵权、群体侵权、重复侵权等行为，对群众反映强烈、社会舆论关注度高、侵权假冒多发的电商、展会、驰名商标、涉农地理标志等重点领域和区域，加大执法监管力度。加强知识产权服务业监管，持续开展“蓝天”专项行动。严厉打击商标恶意注册和非正常专利申请行为，依法将不以使用为目的的商标恶意注册和不以保护创新为目的的非正常专利申请行为纳入信用监管。</w:t>
      </w:r>
      <w:r>
        <w:rPr>
          <w:rFonts w:hint="eastAsia" w:ascii="新宋体" w:hAnsi="新宋体" w:eastAsia="文星楷体" w:cs="楷体"/>
          <w:b/>
        </w:rPr>
        <w:t>（责任单位：区市场监管局）</w:t>
      </w:r>
    </w:p>
    <w:p>
      <w:pPr>
        <w:pStyle w:val="5"/>
        <w:overflowPunct w:val="0"/>
        <w:autoSpaceDE/>
        <w:autoSpaceDN/>
        <w:spacing w:line="616" w:lineRule="exact"/>
        <w:ind w:firstLine="641" w:firstLineChars="200"/>
        <w:jc w:val="both"/>
        <w:rPr>
          <w:rFonts w:ascii="新宋体" w:hAnsi="新宋体" w:eastAsia="文星楷体" w:cs="楷体"/>
          <w:b/>
        </w:rPr>
      </w:pPr>
      <w:r>
        <w:rPr>
          <w:rFonts w:hint="eastAsia" w:ascii="新宋体" w:hAnsi="新宋体" w:eastAsia="文星楷体" w:cs="楷体"/>
          <w:b/>
        </w:rPr>
        <w:t>（四）优化财政政策，强化创业创新扶持。</w:t>
      </w:r>
    </w:p>
    <w:p>
      <w:pPr>
        <w:pStyle w:val="5"/>
        <w:overflowPunct w:val="0"/>
        <w:autoSpaceDE/>
        <w:autoSpaceDN/>
        <w:spacing w:line="616" w:lineRule="exact"/>
        <w:ind w:firstLine="641" w:firstLineChars="200"/>
        <w:jc w:val="both"/>
        <w:rPr>
          <w:rFonts w:ascii="新宋体" w:hAnsi="新宋体" w:eastAsia="文星楷体" w:cs="楷体"/>
          <w:b/>
        </w:rPr>
      </w:pPr>
      <w:r>
        <w:rPr>
          <w:rFonts w:hint="eastAsia" w:ascii="新宋体" w:hAnsi="新宋体" w:eastAsia="文星仿宋" w:cs="仿宋_GB2312"/>
          <w:b/>
        </w:rPr>
        <w:t>11.强化资金和政策保障。根据创业创新需要，统筹安排财政资金，强化资金预算执行，组织协调预算绩效管理。扶持孵化器、众创空间等载体开展创业创新活动，扶持高校毕业生、退役军人和返乡农民工等优质创客广泛开展创业活动，在办公用房、用水、用能等方面适当给予支持，减轻创业创新负担。</w:t>
      </w:r>
      <w:r>
        <w:rPr>
          <w:rFonts w:hint="eastAsia" w:ascii="新宋体" w:hAnsi="新宋体" w:eastAsia="文星楷体" w:cs="楷体"/>
          <w:b/>
        </w:rPr>
        <w:t>〔责任单位：区财政局、区发展改革局、区工业和信息化局（区科技局）、区人力资源社会保障局〕</w:t>
      </w:r>
    </w:p>
    <w:p>
      <w:pPr>
        <w:pStyle w:val="5"/>
        <w:overflowPunct w:val="0"/>
        <w:autoSpaceDE/>
        <w:autoSpaceDN/>
        <w:spacing w:line="616" w:lineRule="exact"/>
        <w:ind w:firstLine="641" w:firstLineChars="200"/>
        <w:jc w:val="both"/>
        <w:rPr>
          <w:rFonts w:ascii="新宋体" w:hAnsi="新宋体" w:eastAsia="文星楷体" w:cs="楷体"/>
          <w:b/>
        </w:rPr>
      </w:pPr>
      <w:r>
        <w:rPr>
          <w:rFonts w:hint="eastAsia" w:ascii="新宋体" w:hAnsi="新宋体" w:eastAsia="文星仿宋" w:cs="仿宋_GB2312"/>
          <w:b/>
        </w:rPr>
        <w:t>12.落实普惠性税收措施。落实扶持小微企业发展的各项税收优惠政策和科技企业孵化器、研发费用加计扣除、固定资产加速折旧等税收优惠政策，落实促进高校毕业生、残疾人、退役军人、登记失业人员等创业就业税收政策。</w:t>
      </w:r>
      <w:r>
        <w:rPr>
          <w:rFonts w:hint="eastAsia" w:ascii="新宋体" w:hAnsi="新宋体" w:eastAsia="文星楷体" w:cs="楷体"/>
          <w:b/>
        </w:rPr>
        <w:t>（责任单位：区税务局）</w:t>
      </w:r>
    </w:p>
    <w:p>
      <w:pPr>
        <w:pStyle w:val="5"/>
        <w:overflowPunct w:val="0"/>
        <w:autoSpaceDE/>
        <w:autoSpaceDN/>
        <w:spacing w:line="616" w:lineRule="exact"/>
        <w:ind w:firstLine="641" w:firstLineChars="200"/>
        <w:jc w:val="both"/>
        <w:rPr>
          <w:rFonts w:ascii="新宋体" w:hAnsi="新宋体" w:eastAsia="文星楷体" w:cs="楷体"/>
          <w:b/>
        </w:rPr>
      </w:pPr>
      <w:r>
        <w:rPr>
          <w:rFonts w:hint="eastAsia" w:ascii="新宋体" w:hAnsi="新宋体" w:eastAsia="文星仿宋" w:cs="仿宋_GB2312"/>
          <w:b/>
        </w:rPr>
        <w:t>13.发挥政府采购支持作用。完善促进中小企业发展的政府采购政策，加强对采购单位的政策指导和监督检查，督促采购单位改进采购计划编制和项目预留管理，增强政策对小微企业发展的支持效果。加大对创新产品和服务的采购力度，把政府采购与支持创业发展紧密结合起来。</w:t>
      </w:r>
      <w:r>
        <w:rPr>
          <w:rFonts w:hint="eastAsia" w:ascii="新宋体" w:hAnsi="新宋体" w:eastAsia="文星楷体" w:cs="楷体"/>
          <w:b/>
        </w:rPr>
        <w:t>（责任单位：区财政局、各相关部门单位）</w:t>
      </w:r>
    </w:p>
    <w:p>
      <w:pPr>
        <w:pStyle w:val="5"/>
        <w:overflowPunct w:val="0"/>
        <w:autoSpaceDE/>
        <w:autoSpaceDN/>
        <w:spacing w:line="616" w:lineRule="exact"/>
        <w:ind w:firstLine="641" w:firstLineChars="200"/>
        <w:jc w:val="both"/>
        <w:rPr>
          <w:rFonts w:ascii="新宋体" w:hAnsi="新宋体" w:eastAsia="文星楷体" w:cs="楷体"/>
          <w:b/>
        </w:rPr>
      </w:pPr>
      <w:r>
        <w:rPr>
          <w:rFonts w:hint="eastAsia" w:ascii="新宋体" w:hAnsi="新宋体" w:eastAsia="文星楷体" w:cs="楷体"/>
          <w:b/>
        </w:rPr>
        <w:t>（五）搞活金融市场，实现便捷融资。</w:t>
      </w:r>
    </w:p>
    <w:p>
      <w:pPr>
        <w:pStyle w:val="5"/>
        <w:overflowPunct w:val="0"/>
        <w:autoSpaceDE/>
        <w:autoSpaceDN/>
        <w:spacing w:line="616" w:lineRule="exact"/>
        <w:ind w:firstLine="641" w:firstLineChars="200"/>
        <w:jc w:val="both"/>
        <w:rPr>
          <w:rFonts w:ascii="新宋体" w:hAnsi="新宋体" w:eastAsia="文星楷体" w:cs="楷体"/>
          <w:b/>
        </w:rPr>
      </w:pPr>
      <w:r>
        <w:rPr>
          <w:rFonts w:hint="eastAsia" w:ascii="新宋体" w:hAnsi="新宋体" w:eastAsia="文星仿宋" w:cs="仿宋_GB2312"/>
          <w:b/>
        </w:rPr>
        <w:t>14.创新科创金融服务模式。优化金融辅导和管家服务，及时将有意愿的科创企业纳入金融辅导，在符合条件的科技园区、创业创新共同体等开展“金融管家”试点，整合银行、证券、保险、地方金融组织等资源，进一步优化金融辅导体系，每年辅导企业扩容增速达到20%以上，合理化融资需求满足率达到100%。鼓励金融机构将人力资本作为融资授信依据，创新开发“人才贷”等专属信贷产品，建立风险补偿机制，实现人才赋能。</w:t>
      </w:r>
      <w:r>
        <w:rPr>
          <w:rFonts w:hint="eastAsia" w:ascii="新宋体" w:hAnsi="新宋体" w:eastAsia="文星楷体" w:cs="楷体"/>
          <w:b/>
        </w:rPr>
        <w:t>〔责任单位：区发展改革局（区地方金融监管局）、区财政局、区市场监管局、区金融发展服务中心〕</w:t>
      </w:r>
    </w:p>
    <w:p>
      <w:pPr>
        <w:pStyle w:val="5"/>
        <w:overflowPunct w:val="0"/>
        <w:autoSpaceDE/>
        <w:autoSpaceDN/>
        <w:spacing w:line="616" w:lineRule="exact"/>
        <w:ind w:firstLine="641" w:firstLineChars="200"/>
        <w:jc w:val="both"/>
        <w:rPr>
          <w:rFonts w:ascii="新宋体" w:hAnsi="新宋体" w:eastAsia="楷体_GB2312" w:cs="仿宋_GB2312"/>
          <w:b/>
        </w:rPr>
      </w:pPr>
      <w:r>
        <w:rPr>
          <w:rFonts w:hint="eastAsia" w:ascii="新宋体" w:hAnsi="新宋体" w:eastAsia="文星仿宋" w:cs="仿宋_GB2312"/>
          <w:b/>
        </w:rPr>
        <w:t>15.拓宽科创企业融资渠道。实施企业上市“倍增计划”，深入推进科创企业上市挂牌后备资源培育。以北交所开市为契机，研究探索对“专精特新”企业提供支持的方式方法，引导其在北交所上市、新三板挂牌。定期组织专业机构为上市后备企业提供服务活动，帮助对接优质投融资资源。鼓励符合条件的企业多渠道发行双创孵化专项债券、创新创业公司债券、双创专项债务融资工具等。</w:t>
      </w:r>
      <w:r>
        <w:rPr>
          <w:rFonts w:hint="eastAsia" w:ascii="新宋体" w:hAnsi="新宋体" w:eastAsia="楷体_GB2312" w:cs="仿宋_GB2312"/>
          <w:b/>
        </w:rPr>
        <w:t>〔责任单位：区金融发展服务中心、区发展改革局、区工业和信息化局（区科技局）〕</w:t>
      </w:r>
    </w:p>
    <w:p>
      <w:pPr>
        <w:pStyle w:val="5"/>
        <w:overflowPunct w:val="0"/>
        <w:autoSpaceDE/>
        <w:autoSpaceDN/>
        <w:spacing w:line="590" w:lineRule="exact"/>
        <w:ind w:firstLine="643" w:firstLineChars="200"/>
        <w:jc w:val="both"/>
        <w:rPr>
          <w:rFonts w:ascii="新宋体" w:hAnsi="新宋体" w:eastAsia="楷体_GB2312" w:cs="仿宋_GB2312"/>
          <w:b/>
        </w:rPr>
      </w:pPr>
      <w:r>
        <w:rPr>
          <w:rFonts w:hint="eastAsia" w:ascii="新宋体" w:hAnsi="新宋体" w:eastAsia="楷体_GB2312" w:cs="仿宋_GB2312"/>
          <w:b/>
        </w:rPr>
        <w:t>（六）加大人才引育力度，激发创业创新活力。</w:t>
      </w:r>
    </w:p>
    <w:p>
      <w:pPr>
        <w:pStyle w:val="5"/>
        <w:overflowPunct w:val="0"/>
        <w:autoSpaceDE/>
        <w:autoSpaceDN/>
        <w:spacing w:line="590" w:lineRule="exact"/>
        <w:ind w:firstLine="641" w:firstLineChars="200"/>
        <w:jc w:val="both"/>
        <w:rPr>
          <w:rFonts w:ascii="新宋体" w:hAnsi="新宋体" w:eastAsia="楷体_GB2312" w:cs="仿宋_GB2312"/>
          <w:b/>
        </w:rPr>
      </w:pPr>
      <w:r>
        <w:rPr>
          <w:rFonts w:hint="eastAsia" w:ascii="新宋体" w:hAnsi="新宋体" w:eastAsia="文星仿宋" w:cs="仿宋_GB2312"/>
          <w:b/>
        </w:rPr>
        <w:t>16.大力引育科创人才。聚焦优势产业、新兴产业等领域，制定更加开放的人才政策，实施科创人才引进行动，通过设立研发中心、开展高端项目等方式，加强高层次科研人才、中层次技术人员靶向引进、柔性引进。深入推进人才引进计划，针对制约企业发展的技术瓶颈、面临的技术需求和高端人才匮乏等问题，积极引导、牵线搭桥，为企业和人才搭建交流、合作平台，促进企业与人才紧密合作。对顶尖人才（团队），采取“一事一议”方式引进，在住房政策、子女教育等方面给予支持，实现精准引才。</w:t>
      </w:r>
      <w:r>
        <w:rPr>
          <w:rFonts w:hint="eastAsia" w:ascii="新宋体" w:hAnsi="新宋体" w:eastAsia="楷体_GB2312" w:cs="仿宋_GB2312"/>
          <w:b/>
        </w:rPr>
        <w:t>（责任单位：区委组织部、区教育和体育局、区人力资源社会保障局、区住房城乡建设局、区科技局按职能分工负责）</w:t>
      </w:r>
    </w:p>
    <w:p>
      <w:pPr>
        <w:pStyle w:val="5"/>
        <w:overflowPunct w:val="0"/>
        <w:autoSpaceDE/>
        <w:autoSpaceDN/>
        <w:spacing w:line="590" w:lineRule="exact"/>
        <w:ind w:firstLine="641" w:firstLineChars="200"/>
        <w:jc w:val="both"/>
        <w:rPr>
          <w:rFonts w:ascii="新宋体" w:hAnsi="新宋体" w:eastAsia="楷体_GB2312" w:cs="仿宋_GB2312"/>
          <w:b/>
        </w:rPr>
      </w:pPr>
      <w:r>
        <w:rPr>
          <w:rFonts w:hint="eastAsia" w:ascii="新宋体" w:hAnsi="新宋体" w:eastAsia="文星仿宋" w:cs="仿宋_GB2312"/>
          <w:b/>
        </w:rPr>
        <w:t>17.强化专业技能人才培训。推进各类领军型技能人才选拔项目实施，鼓励各行各业广泛开展技能大赛。加快建设优质技能人才培养载体，培养、集聚能够解决企业关键操作技术和生产工艺难题的高水平技能人才。深入推进“金蓝领工匠”集聚计划，探索技术移民、人才飞地等柔性引才方式，加大急需紧缺高技能人才引育力度。积极参与济南市“金蓝领”培训项目，每年参加技师、高级技师等级培养的企业职工不少于80人。加快产教融合型学徒制培训，到2025年，全区培养企业新型学徒职工不少于400名。“十四五”期间，争取每年创业培训100人以上，争取每年开展补贴性职业技能培训人数4200人以上，高技能人才总量达到400人。</w:t>
      </w:r>
      <w:r>
        <w:rPr>
          <w:rFonts w:hint="eastAsia" w:ascii="新宋体" w:hAnsi="新宋体" w:eastAsia="楷体_GB2312" w:cs="仿宋_GB2312"/>
          <w:b/>
        </w:rPr>
        <w:t>（责任单位：区教育和体育局、区人力资源社会保障局、区科技局、区总工会按职能分工负责）</w:t>
      </w:r>
    </w:p>
    <w:p>
      <w:pPr>
        <w:pStyle w:val="5"/>
        <w:overflowPunct w:val="0"/>
        <w:autoSpaceDE/>
        <w:autoSpaceDN/>
        <w:spacing w:line="590" w:lineRule="exact"/>
        <w:ind w:firstLine="641" w:firstLineChars="200"/>
        <w:jc w:val="both"/>
        <w:rPr>
          <w:rFonts w:ascii="新宋体" w:hAnsi="新宋体" w:eastAsia="楷体_GB2312" w:cs="仿宋_GB2312"/>
          <w:b/>
        </w:rPr>
      </w:pPr>
      <w:r>
        <w:rPr>
          <w:rFonts w:hint="eastAsia" w:ascii="新宋体" w:hAnsi="新宋体" w:eastAsia="文星仿宋" w:cs="仿宋_GB2312"/>
          <w:b/>
        </w:rPr>
        <w:t>18.完善人才培育和激励评价方式。每年分期分批开展科技创业创新政策、业务知识培训，提升孵化载体运营管理人员政策理论水平、业务知识能力和孵化服务效率。建立健全人才动态评价及结果应用体系，完善人才奖励政策。</w:t>
      </w:r>
      <w:r>
        <w:rPr>
          <w:rFonts w:hint="eastAsia" w:ascii="新宋体" w:hAnsi="新宋体" w:eastAsia="楷体_GB2312" w:cs="仿宋_GB2312"/>
          <w:b/>
        </w:rPr>
        <w:t>〔责任单位：区发展改革局、区教育和体育局、区工业和信息化局（区科技局）、区人力资源社会保障局、区科协按职能分工负责〕</w:t>
      </w:r>
    </w:p>
    <w:p>
      <w:pPr>
        <w:pStyle w:val="5"/>
        <w:overflowPunct w:val="0"/>
        <w:autoSpaceDE/>
        <w:autoSpaceDN/>
        <w:spacing w:line="590" w:lineRule="exact"/>
        <w:ind w:firstLine="643" w:firstLineChars="200"/>
        <w:jc w:val="both"/>
        <w:rPr>
          <w:rFonts w:ascii="新宋体" w:hAnsi="新宋体" w:eastAsia="楷体_GB2312" w:cs="仿宋_GB2312"/>
          <w:b/>
        </w:rPr>
      </w:pPr>
      <w:r>
        <w:rPr>
          <w:rFonts w:hint="eastAsia" w:ascii="新宋体" w:hAnsi="新宋体" w:eastAsia="楷体_GB2312" w:cs="仿宋_GB2312"/>
          <w:b/>
        </w:rPr>
        <w:t>（七）加强“双创”文化建设，打造蓬勃“双创”生态。</w:t>
      </w:r>
    </w:p>
    <w:p>
      <w:pPr>
        <w:pStyle w:val="5"/>
        <w:overflowPunct w:val="0"/>
        <w:autoSpaceDE/>
        <w:autoSpaceDN/>
        <w:spacing w:line="590" w:lineRule="exact"/>
        <w:ind w:firstLine="641" w:firstLineChars="200"/>
        <w:jc w:val="both"/>
        <w:rPr>
          <w:rFonts w:ascii="新宋体" w:hAnsi="新宋体" w:eastAsia="楷体_GB2312" w:cs="仿宋_GB2312"/>
          <w:b/>
        </w:rPr>
      </w:pPr>
      <w:r>
        <w:rPr>
          <w:rFonts w:hint="eastAsia" w:ascii="新宋体" w:hAnsi="新宋体" w:eastAsia="文星仿宋" w:cs="仿宋_GB2312"/>
          <w:b/>
        </w:rPr>
        <w:t>19.搞好“双创”政策宣讲。举办“双创”政策集中宣传活动，宣传创业创新相关扶持及优惠政策，提高广大群众的知晓率和参与度。开展“双创”政策宣传，对创业补贴、创业融资等系列优惠政策进行解读。通过电视、网络等多媒体手段，宣传创业创新相关政策，总结推广典型经验，让现有的“双创”主体增强信心、用好政策，让潜在的“双创”主体有榜样学习、有经验借鉴，在全社会营造浓厚的创业创新氛围。</w:t>
      </w:r>
      <w:r>
        <w:rPr>
          <w:rFonts w:hint="eastAsia" w:ascii="新宋体" w:hAnsi="新宋体" w:eastAsia="楷体_GB2312" w:cs="仿宋_GB2312"/>
          <w:b/>
        </w:rPr>
        <w:t>〔责任单位：区发展改革局（区地方金融监管局）、区教育和体育局、区工业和信息化局（区科技局）、区人力资源社会保障局、区科协，各街道、功能区按职能分工负责〕</w:t>
      </w:r>
    </w:p>
    <w:p>
      <w:pPr>
        <w:pStyle w:val="5"/>
        <w:overflowPunct w:val="0"/>
        <w:autoSpaceDE/>
        <w:autoSpaceDN/>
        <w:spacing w:line="590" w:lineRule="exact"/>
        <w:ind w:firstLine="641" w:firstLineChars="200"/>
        <w:jc w:val="both"/>
        <w:rPr>
          <w:rFonts w:ascii="新宋体" w:hAnsi="新宋体" w:eastAsia="楷体_GB2312" w:cs="仿宋_GB2312"/>
          <w:b/>
        </w:rPr>
      </w:pPr>
      <w:r>
        <w:rPr>
          <w:rFonts w:hint="eastAsia" w:ascii="新宋体" w:hAnsi="新宋体" w:eastAsia="文星仿宋" w:cs="仿宋_GB2312"/>
          <w:b/>
        </w:rPr>
        <w:t>20.开展多样“双创”活动。举办“双创”活动周、创业大赛等创业创新活动，不断激发全社会创业创新热情。实施返乡入乡创业带头人培育行动，培养一批具有发展潜力和带头示范作用的返乡入乡创业人员。开展创业创新巾帼行动，鼓励妇女创业创新。</w:t>
      </w:r>
      <w:r>
        <w:rPr>
          <w:rFonts w:hint="eastAsia" w:ascii="新宋体" w:hAnsi="新宋体" w:eastAsia="楷体_GB2312" w:cs="仿宋_GB2312"/>
          <w:b/>
        </w:rPr>
        <w:t>（责任单位：区发展改革局、区工业和信息化局、区人力资源社会保障局、区农业农村局及活动参与单位）</w:t>
      </w:r>
    </w:p>
    <w:p>
      <w:pPr>
        <w:pStyle w:val="5"/>
        <w:overflowPunct w:val="0"/>
        <w:autoSpaceDE/>
        <w:autoSpaceDN/>
        <w:spacing w:line="590" w:lineRule="exact"/>
        <w:ind w:firstLine="641" w:firstLineChars="200"/>
        <w:jc w:val="both"/>
        <w:rPr>
          <w:rFonts w:ascii="新宋体" w:hAnsi="新宋体" w:eastAsia="楷体_GB2312" w:cs="仿宋_GB2312"/>
          <w:b/>
        </w:rPr>
      </w:pPr>
      <w:r>
        <w:rPr>
          <w:rFonts w:hint="eastAsia" w:ascii="新宋体" w:hAnsi="新宋体" w:eastAsia="文星仿宋" w:cs="仿宋_GB2312"/>
          <w:b/>
        </w:rPr>
        <w:t>21.打造“双创”品牌。大力弘扬“善于创新，勇于创业”的“双创”精神，构建“创新引领、尊重知识、追求卓越、人才为重”的“双创”文化氛围，树立坚韧不拔的企业家形象，形成“尊重创业精神、宽容创业失败”的宽松创业环境，激发大众的创业创新热情。</w:t>
      </w:r>
      <w:r>
        <w:rPr>
          <w:rFonts w:hint="eastAsia" w:ascii="新宋体" w:hAnsi="新宋体" w:eastAsia="楷体_GB2312" w:cs="仿宋_GB2312"/>
          <w:b/>
        </w:rPr>
        <w:t>（责任单位：区“双创”工作联席会议成员单位）</w:t>
      </w:r>
    </w:p>
    <w:p>
      <w:pPr>
        <w:pStyle w:val="5"/>
        <w:overflowPunct w:val="0"/>
        <w:autoSpaceDE/>
        <w:autoSpaceDN/>
        <w:spacing w:line="590" w:lineRule="exact"/>
        <w:ind w:firstLine="643" w:firstLineChars="200"/>
        <w:jc w:val="both"/>
        <w:rPr>
          <w:rFonts w:ascii="新宋体" w:hAnsi="新宋体" w:eastAsia="黑体" w:cs="仿宋_GB2312"/>
          <w:b/>
        </w:rPr>
      </w:pPr>
      <w:r>
        <w:rPr>
          <w:rFonts w:hint="eastAsia" w:ascii="新宋体" w:hAnsi="新宋体" w:eastAsia="黑体" w:cs="仿宋_GB2312"/>
          <w:b/>
        </w:rPr>
        <w:t>三、保障措施</w:t>
      </w:r>
    </w:p>
    <w:p>
      <w:pPr>
        <w:pStyle w:val="5"/>
        <w:overflowPunct w:val="0"/>
        <w:autoSpaceDE/>
        <w:autoSpaceDN/>
        <w:spacing w:line="590" w:lineRule="exact"/>
        <w:ind w:firstLine="643" w:firstLineChars="200"/>
        <w:jc w:val="both"/>
        <w:rPr>
          <w:rFonts w:ascii="新宋体" w:hAnsi="新宋体" w:eastAsia="方正楷体简体" w:cs="仿宋_GB2312"/>
          <w:b/>
        </w:rPr>
      </w:pPr>
      <w:r>
        <w:rPr>
          <w:rFonts w:hint="eastAsia" w:ascii="新宋体" w:hAnsi="新宋体" w:eastAsia="方正楷体简体" w:cs="仿宋_GB2312"/>
          <w:b/>
        </w:rPr>
        <w:t>（一）加强统筹协调。</w:t>
      </w:r>
      <w:r>
        <w:rPr>
          <w:rFonts w:hint="eastAsia" w:ascii="新宋体" w:hAnsi="新宋体" w:eastAsia="文星仿宋" w:cs="仿宋_GB2312"/>
          <w:b/>
        </w:rPr>
        <w:t>推进建立大众创业万众创新工作联席会议制度，由区发展改革局（区地方金融监管局）、区工业和信息化局、区财政局、区人力资源社会保障局、区农业农村局、区文化和旅游局、区市场监管局、区行政审批服务局、区税务局、区科协等部门单位组成，联席会议统筹全区创业创新工作，及时解决遇到的困难问题，推动创业创新工作加快发展。联席会议办公室设在区发展改革局，主要负责协调、联络、调度等日常工作。</w:t>
      </w:r>
      <w:r>
        <w:rPr>
          <w:rFonts w:hint="eastAsia" w:ascii="新宋体" w:hAnsi="新宋体" w:eastAsia="方正楷体简体" w:cs="仿宋_GB2312"/>
          <w:b/>
        </w:rPr>
        <w:t>〔责任单位：区发展改革局（区地方金融监管局）、区教育和体育局、区工业和信息化局、区财政局、区人力资源社会保障局、区市场监管局、区科协等相关部门单位〕</w:t>
      </w:r>
    </w:p>
    <w:p>
      <w:pPr>
        <w:pStyle w:val="5"/>
        <w:overflowPunct w:val="0"/>
        <w:autoSpaceDE/>
        <w:autoSpaceDN/>
        <w:spacing w:line="590" w:lineRule="exact"/>
        <w:ind w:firstLine="643" w:firstLineChars="200"/>
        <w:jc w:val="both"/>
        <w:rPr>
          <w:rFonts w:ascii="新宋体" w:hAnsi="新宋体" w:eastAsia="方正楷体简体" w:cs="仿宋_GB2312"/>
          <w:b/>
        </w:rPr>
      </w:pPr>
      <w:r>
        <w:rPr>
          <w:rFonts w:hint="eastAsia" w:ascii="新宋体" w:hAnsi="新宋体" w:eastAsia="方正楷体简体" w:cs="仿宋_GB2312"/>
          <w:b/>
        </w:rPr>
        <w:t>（二）加强政策联动。</w:t>
      </w:r>
      <w:r>
        <w:rPr>
          <w:rFonts w:hint="eastAsia" w:ascii="新宋体" w:hAnsi="新宋体" w:eastAsia="文星仿宋" w:cs="仿宋_GB2312"/>
          <w:b/>
        </w:rPr>
        <w:t>在分类梳理我区支持创业创新相关政策的基础上，根据形势任务变化，完善创业创新全流程支持政策体系，及时更新出台支持“双创”“人才新政”等政策措施，从创业创新培训、场地租金补贴、中介服务外包费用补助等方面给予支持，降低创业创新成本和门槛。</w:t>
      </w:r>
      <w:r>
        <w:rPr>
          <w:rFonts w:hint="eastAsia" w:ascii="新宋体" w:hAnsi="新宋体" w:eastAsia="方正楷体简体" w:cs="仿宋_GB2312"/>
          <w:b/>
        </w:rPr>
        <w:t>〔责任单位：区委组织部、区发展改革局（区地方金融监管局）、区教育和体育局、区工业和信息化局、区财政局、区人力资源社会保障局、区市场监管局、区科协等相关单位〕</w:t>
      </w:r>
    </w:p>
    <w:p>
      <w:pPr>
        <w:pStyle w:val="5"/>
        <w:overflowPunct w:val="0"/>
        <w:autoSpaceDE/>
        <w:autoSpaceDN/>
        <w:spacing w:line="590" w:lineRule="exact"/>
        <w:ind w:firstLine="643" w:firstLineChars="200"/>
        <w:jc w:val="both"/>
        <w:rPr>
          <w:rFonts w:ascii="新宋体" w:hAnsi="新宋体" w:eastAsia="方正楷体简体" w:cs="仿宋_GB2312"/>
          <w:b/>
        </w:rPr>
      </w:pPr>
      <w:r>
        <w:rPr>
          <w:rFonts w:hint="eastAsia" w:ascii="新宋体" w:hAnsi="新宋体" w:eastAsia="方正楷体简体" w:cs="仿宋_GB2312"/>
          <w:b/>
        </w:rPr>
        <w:t>（三）加强督导落实。</w:t>
      </w:r>
      <w:r>
        <w:rPr>
          <w:rFonts w:hint="eastAsia" w:ascii="新宋体" w:hAnsi="新宋体" w:eastAsia="文星仿宋" w:cs="仿宋_GB2312"/>
          <w:b/>
        </w:rPr>
        <w:t>进一步明确各项任务的责任部门及责任人，各责任单位各负其责，协同合作，分阶段、分目标推进工作落地落实。充分发挥“双创”工作联席会议机制作用，根据工作需要，及时召开联席会议，总结工作推进情况，分析存在的短板，解决痛点堵点问题，打通政策落实“最后一公里”，确保“双创”工作落地见效。</w:t>
      </w:r>
      <w:r>
        <w:rPr>
          <w:rFonts w:hint="eastAsia" w:ascii="新宋体" w:hAnsi="新宋体" w:eastAsia="方正楷体简体" w:cs="仿宋_GB2312"/>
          <w:b/>
        </w:rPr>
        <w:t>〔责任单位：区发展改革局（区地方金融监管局）、区教育和体育局、区工业和信息化局、区财政局、区人力资源社会保障局、区市场监管局、区科协等相关单位〕</w:t>
      </w:r>
    </w:p>
    <w:p>
      <w:pPr>
        <w:pStyle w:val="5"/>
        <w:overflowPunct w:val="0"/>
        <w:autoSpaceDE/>
        <w:autoSpaceDN/>
        <w:spacing w:line="590" w:lineRule="exact"/>
        <w:ind w:firstLine="641" w:firstLineChars="200"/>
        <w:jc w:val="both"/>
        <w:rPr>
          <w:rFonts w:ascii="新宋体" w:hAnsi="新宋体" w:eastAsia="文星仿宋" w:cs="仿宋_GB2312"/>
          <w:b/>
        </w:rPr>
      </w:pPr>
    </w:p>
    <w:p>
      <w:pPr>
        <w:pStyle w:val="5"/>
        <w:overflowPunct w:val="0"/>
        <w:autoSpaceDE/>
        <w:autoSpaceDN/>
        <w:spacing w:line="590" w:lineRule="exact"/>
        <w:ind w:firstLine="641" w:firstLineChars="200"/>
        <w:jc w:val="both"/>
        <w:rPr>
          <w:rFonts w:ascii="新宋体" w:hAnsi="新宋体" w:eastAsia="文星仿宋" w:cs="仿宋_GB2312"/>
          <w:b/>
        </w:rPr>
      </w:pPr>
      <w:r>
        <w:rPr>
          <w:rFonts w:hint="eastAsia" w:ascii="新宋体" w:hAnsi="新宋体" w:eastAsia="文星仿宋" w:cs="仿宋_GB2312"/>
          <w:b/>
        </w:rPr>
        <w:t>附件：1.济南市钢城区加快推进大众创业万众创新工作任</w:t>
      </w:r>
    </w:p>
    <w:p>
      <w:pPr>
        <w:pStyle w:val="5"/>
        <w:overflowPunct w:val="0"/>
        <w:autoSpaceDE/>
        <w:autoSpaceDN/>
        <w:spacing w:line="590" w:lineRule="exact"/>
        <w:ind w:firstLine="1922" w:firstLineChars="600"/>
        <w:jc w:val="both"/>
        <w:rPr>
          <w:rFonts w:ascii="新宋体" w:hAnsi="新宋体" w:eastAsia="文星仿宋" w:cs="仿宋_GB2312"/>
          <w:b/>
        </w:rPr>
      </w:pPr>
      <w:r>
        <w:rPr>
          <w:rFonts w:hint="eastAsia" w:ascii="新宋体" w:hAnsi="新宋体" w:eastAsia="文星仿宋" w:cs="仿宋_GB2312"/>
          <w:b/>
        </w:rPr>
        <w:t>务分工表</w:t>
      </w:r>
    </w:p>
    <w:p>
      <w:pPr>
        <w:pStyle w:val="5"/>
        <w:overflowPunct w:val="0"/>
        <w:autoSpaceDE/>
        <w:autoSpaceDN/>
        <w:spacing w:line="590" w:lineRule="exact"/>
        <w:ind w:firstLine="1602" w:firstLineChars="500"/>
        <w:jc w:val="both"/>
        <w:rPr>
          <w:rFonts w:ascii="新宋体" w:hAnsi="新宋体" w:eastAsia="文星仿宋" w:cs="仿宋_GB2312"/>
          <w:b/>
        </w:rPr>
      </w:pPr>
      <w:r>
        <w:rPr>
          <w:rFonts w:hint="eastAsia" w:ascii="新宋体" w:hAnsi="新宋体" w:eastAsia="文星仿宋" w:cs="仿宋_GB2312"/>
          <w:b/>
        </w:rPr>
        <w:t>2.济南市钢城区推进大众创业万众创新联席会议成</w:t>
      </w:r>
    </w:p>
    <w:p>
      <w:pPr>
        <w:pStyle w:val="5"/>
        <w:overflowPunct w:val="0"/>
        <w:autoSpaceDE/>
        <w:autoSpaceDN/>
        <w:spacing w:line="590" w:lineRule="exact"/>
        <w:ind w:firstLine="1922" w:firstLineChars="600"/>
        <w:jc w:val="both"/>
        <w:rPr>
          <w:rFonts w:ascii="新宋体" w:hAnsi="新宋体" w:eastAsia="文星仿宋" w:cs="仿宋_GB2312"/>
          <w:b/>
        </w:rPr>
      </w:pPr>
      <w:r>
        <w:rPr>
          <w:rFonts w:hint="eastAsia" w:ascii="新宋体" w:hAnsi="新宋体" w:eastAsia="文星仿宋" w:cs="仿宋_GB2312"/>
          <w:b/>
        </w:rPr>
        <w:t>员名单</w:t>
      </w:r>
    </w:p>
    <w:p>
      <w:pPr>
        <w:pStyle w:val="5"/>
        <w:spacing w:line="600" w:lineRule="exact"/>
        <w:rPr>
          <w:rFonts w:ascii="新宋体" w:hAnsi="新宋体" w:eastAsia="仿宋_GB2312" w:cs="仿宋_GB2312"/>
          <w:b/>
        </w:rPr>
      </w:pPr>
    </w:p>
    <w:p>
      <w:pPr>
        <w:pStyle w:val="5"/>
        <w:spacing w:line="600" w:lineRule="exact"/>
        <w:rPr>
          <w:rFonts w:ascii="新宋体" w:hAnsi="新宋体" w:eastAsia="仿宋_GB2312" w:cs="仿宋_GB2312"/>
          <w:b/>
        </w:rPr>
      </w:pPr>
    </w:p>
    <w:p>
      <w:pPr>
        <w:spacing w:line="600" w:lineRule="exact"/>
        <w:jc w:val="right"/>
        <w:rPr>
          <w:rFonts w:ascii="新宋体" w:hAnsi="新宋体" w:eastAsia="仿宋_GB2312" w:cs="仿宋_GB2312"/>
          <w:b/>
          <w:sz w:val="32"/>
          <w:szCs w:val="32"/>
        </w:rPr>
        <w:sectPr>
          <w:footerReference r:id="rId3" w:type="default"/>
          <w:pgSz w:w="11910" w:h="16840"/>
          <w:pgMar w:top="1531" w:right="1531" w:bottom="1531" w:left="1531" w:header="851" w:footer="1418" w:gutter="0"/>
          <w:cols w:space="720" w:num="1"/>
        </w:sectPr>
      </w:pPr>
    </w:p>
    <w:p>
      <w:pPr>
        <w:pStyle w:val="3"/>
        <w:autoSpaceDE/>
        <w:autoSpaceDN/>
        <w:spacing w:line="600" w:lineRule="exact"/>
        <w:jc w:val="both"/>
        <w:rPr>
          <w:rFonts w:ascii="新宋体" w:hAnsi="新宋体" w:eastAsia="黑体" w:cs="黑体"/>
          <w:b/>
          <w:color w:val="333333"/>
          <w:sz w:val="32"/>
          <w:szCs w:val="32"/>
          <w:lang w:val="en-US"/>
        </w:rPr>
      </w:pPr>
      <w:r>
        <w:rPr>
          <w:rFonts w:hint="eastAsia" w:ascii="新宋体" w:hAnsi="新宋体" w:eastAsia="黑体" w:cs="黑体"/>
          <w:b/>
          <w:color w:val="333333"/>
          <w:sz w:val="32"/>
          <w:szCs w:val="32"/>
          <w:lang w:val="en-US"/>
        </w:rPr>
        <w:t>附件1</w:t>
      </w:r>
    </w:p>
    <w:p>
      <w:pPr>
        <w:pStyle w:val="3"/>
        <w:spacing w:line="600" w:lineRule="exact"/>
        <w:ind w:left="0"/>
        <w:jc w:val="center"/>
        <w:rPr>
          <w:rFonts w:ascii="新宋体" w:hAnsi="新宋体" w:eastAsia="方正小标宋简体" w:cs="方正小标宋简体"/>
          <w:b/>
        </w:rPr>
      </w:pPr>
      <w:r>
        <w:rPr>
          <w:rFonts w:hint="eastAsia" w:ascii="新宋体" w:hAnsi="新宋体" w:eastAsia="方正小标宋简体" w:cs="方正小标宋简体"/>
          <w:b/>
          <w:lang w:val="en-US"/>
        </w:rPr>
        <w:t>济南市钢城区</w:t>
      </w:r>
      <w:r>
        <w:rPr>
          <w:rFonts w:hint="eastAsia" w:ascii="新宋体" w:hAnsi="新宋体" w:eastAsia="方正小标宋简体" w:cs="方正小标宋简体"/>
          <w:b/>
        </w:rPr>
        <w:t>加快推进大众创业万众创新工作任务分工表</w:t>
      </w:r>
    </w:p>
    <w:p>
      <w:pPr>
        <w:rPr>
          <w:rFonts w:ascii="新宋体" w:hAnsi="新宋体"/>
          <w:b/>
        </w:rPr>
      </w:pPr>
    </w:p>
    <w:tbl>
      <w:tblPr>
        <w:tblStyle w:val="11"/>
        <w:tblW w:w="1360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627"/>
        <w:gridCol w:w="1337"/>
        <w:gridCol w:w="6173"/>
        <w:gridCol w:w="1559"/>
        <w:gridCol w:w="1843"/>
        <w:gridCol w:w="206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13" w:hRule="atLeast"/>
          <w:tblHeader/>
          <w:jc w:val="center"/>
        </w:trPr>
        <w:tc>
          <w:tcPr>
            <w:tcW w:w="627" w:type="dxa"/>
            <w:vAlign w:val="center"/>
          </w:tcPr>
          <w:p>
            <w:pPr>
              <w:spacing w:line="360" w:lineRule="exact"/>
              <w:jc w:val="center"/>
              <w:rPr>
                <w:rFonts w:ascii="新宋体" w:hAnsi="新宋体" w:eastAsia="黑体" w:cs="黑体"/>
                <w:b/>
                <w:bCs/>
                <w:sz w:val="24"/>
                <w:szCs w:val="24"/>
                <w:lang w:val="en-US"/>
              </w:rPr>
            </w:pPr>
            <w:r>
              <w:rPr>
                <w:rFonts w:hint="eastAsia" w:ascii="新宋体" w:hAnsi="新宋体" w:eastAsia="黑体" w:cs="黑体"/>
                <w:b/>
                <w:bCs/>
                <w:sz w:val="24"/>
                <w:szCs w:val="24"/>
                <w:lang w:val="en-US"/>
              </w:rPr>
              <w:t>序号</w:t>
            </w:r>
          </w:p>
        </w:tc>
        <w:tc>
          <w:tcPr>
            <w:tcW w:w="1337" w:type="dxa"/>
            <w:vAlign w:val="center"/>
          </w:tcPr>
          <w:p>
            <w:pPr>
              <w:spacing w:line="360" w:lineRule="exact"/>
              <w:jc w:val="center"/>
              <w:rPr>
                <w:rFonts w:ascii="新宋体" w:hAnsi="新宋体" w:eastAsia="黑体" w:cs="黑体"/>
                <w:b/>
                <w:bCs/>
                <w:sz w:val="24"/>
                <w:szCs w:val="24"/>
                <w:lang w:val="en-US"/>
              </w:rPr>
            </w:pPr>
            <w:r>
              <w:rPr>
                <w:rFonts w:hint="eastAsia" w:ascii="新宋体" w:hAnsi="新宋体" w:eastAsia="黑体" w:cs="黑体"/>
                <w:b/>
                <w:bCs/>
                <w:sz w:val="24"/>
                <w:szCs w:val="24"/>
                <w:lang w:val="en-US"/>
              </w:rPr>
              <w:t>主要内容</w:t>
            </w:r>
          </w:p>
        </w:tc>
        <w:tc>
          <w:tcPr>
            <w:tcW w:w="6173" w:type="dxa"/>
            <w:vAlign w:val="center"/>
          </w:tcPr>
          <w:p>
            <w:pPr>
              <w:spacing w:line="360" w:lineRule="exact"/>
              <w:jc w:val="center"/>
              <w:rPr>
                <w:rFonts w:ascii="新宋体" w:hAnsi="新宋体" w:eastAsia="黑体" w:cs="黑体"/>
                <w:b/>
                <w:bCs/>
                <w:sz w:val="24"/>
                <w:szCs w:val="24"/>
                <w:lang w:val="en-US"/>
              </w:rPr>
            </w:pPr>
            <w:r>
              <w:rPr>
                <w:rFonts w:hint="eastAsia" w:ascii="新宋体" w:hAnsi="新宋体" w:eastAsia="黑体" w:cs="黑体"/>
                <w:b/>
                <w:bCs/>
                <w:sz w:val="24"/>
                <w:szCs w:val="24"/>
                <w:lang w:val="en-US"/>
              </w:rPr>
              <w:t>具体措施</w:t>
            </w:r>
          </w:p>
        </w:tc>
        <w:tc>
          <w:tcPr>
            <w:tcW w:w="1559" w:type="dxa"/>
            <w:vAlign w:val="center"/>
          </w:tcPr>
          <w:p>
            <w:pPr>
              <w:spacing w:line="360" w:lineRule="exact"/>
              <w:jc w:val="center"/>
              <w:rPr>
                <w:rFonts w:ascii="新宋体" w:hAnsi="新宋体" w:eastAsia="黑体" w:cs="黑体"/>
                <w:b/>
                <w:bCs/>
                <w:sz w:val="24"/>
                <w:szCs w:val="24"/>
                <w:lang w:val="en-US"/>
              </w:rPr>
            </w:pPr>
            <w:r>
              <w:rPr>
                <w:rFonts w:hint="eastAsia" w:ascii="新宋体" w:hAnsi="新宋体" w:eastAsia="黑体" w:cs="黑体"/>
                <w:b/>
                <w:bCs/>
                <w:sz w:val="24"/>
                <w:szCs w:val="24"/>
                <w:lang w:val="en-US"/>
              </w:rPr>
              <w:t>时间要求</w:t>
            </w:r>
          </w:p>
        </w:tc>
        <w:tc>
          <w:tcPr>
            <w:tcW w:w="1843" w:type="dxa"/>
            <w:vAlign w:val="center"/>
          </w:tcPr>
          <w:p>
            <w:pPr>
              <w:spacing w:line="360" w:lineRule="exact"/>
              <w:jc w:val="center"/>
              <w:rPr>
                <w:rFonts w:ascii="新宋体" w:hAnsi="新宋体" w:eastAsia="黑体" w:cs="黑体"/>
                <w:b/>
                <w:bCs/>
                <w:sz w:val="24"/>
                <w:szCs w:val="24"/>
                <w:lang w:val="en-US"/>
              </w:rPr>
            </w:pPr>
            <w:r>
              <w:rPr>
                <w:rFonts w:hint="eastAsia" w:ascii="新宋体" w:hAnsi="新宋体" w:eastAsia="黑体" w:cs="黑体"/>
                <w:b/>
                <w:bCs/>
                <w:sz w:val="24"/>
                <w:szCs w:val="24"/>
                <w:lang w:val="en-US"/>
              </w:rPr>
              <w:t>牵头单位</w:t>
            </w:r>
          </w:p>
        </w:tc>
        <w:tc>
          <w:tcPr>
            <w:tcW w:w="2069" w:type="dxa"/>
            <w:vAlign w:val="center"/>
          </w:tcPr>
          <w:p>
            <w:pPr>
              <w:spacing w:line="360" w:lineRule="exact"/>
              <w:jc w:val="center"/>
              <w:rPr>
                <w:rFonts w:ascii="新宋体" w:hAnsi="新宋体" w:eastAsia="黑体" w:cs="黑体"/>
                <w:b/>
                <w:bCs/>
                <w:sz w:val="24"/>
                <w:szCs w:val="24"/>
                <w:lang w:val="en-US"/>
              </w:rPr>
            </w:pPr>
            <w:r>
              <w:rPr>
                <w:rFonts w:hint="eastAsia" w:ascii="新宋体" w:hAnsi="新宋体" w:eastAsia="黑体" w:cs="黑体"/>
                <w:b/>
                <w:bCs/>
                <w:sz w:val="24"/>
                <w:szCs w:val="24"/>
                <w:lang w:val="en-US"/>
              </w:rPr>
              <w:t>配合单位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35" w:hRule="atLeast"/>
          <w:jc w:val="center"/>
        </w:trPr>
        <w:tc>
          <w:tcPr>
            <w:tcW w:w="13608" w:type="dxa"/>
            <w:gridSpan w:val="6"/>
            <w:vAlign w:val="center"/>
          </w:tcPr>
          <w:p>
            <w:pPr>
              <w:spacing w:line="360" w:lineRule="exact"/>
              <w:jc w:val="both"/>
              <w:rPr>
                <w:rFonts w:ascii="新宋体" w:hAnsi="新宋体" w:eastAsia="黑体"/>
                <w:b/>
                <w:sz w:val="24"/>
                <w:szCs w:val="24"/>
              </w:rPr>
            </w:pPr>
            <w:r>
              <w:rPr>
                <w:rFonts w:hint="eastAsia" w:ascii="新宋体" w:hAnsi="新宋体" w:eastAsia="黑体"/>
                <w:b/>
                <w:sz w:val="24"/>
                <w:szCs w:val="24"/>
              </w:rPr>
              <w:t>一、建设创业创新平台，增强支撑能力。</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834" w:hRule="atLeast"/>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1</w:t>
            </w:r>
          </w:p>
        </w:tc>
        <w:tc>
          <w:tcPr>
            <w:tcW w:w="1337" w:type="dxa"/>
            <w:vMerge w:val="restart"/>
            <w:vAlign w:val="center"/>
          </w:tcPr>
          <w:p>
            <w:pPr>
              <w:pStyle w:val="16"/>
              <w:spacing w:line="360" w:lineRule="exact"/>
              <w:jc w:val="both"/>
              <w:rPr>
                <w:rFonts w:ascii="新宋体" w:hAnsi="新宋体" w:eastAsia="文星仿宋"/>
                <w:b/>
                <w:kern w:val="2"/>
                <w:sz w:val="24"/>
                <w:szCs w:val="24"/>
              </w:rPr>
            </w:pPr>
            <w:r>
              <w:rPr>
                <w:rFonts w:hint="eastAsia" w:ascii="新宋体" w:hAnsi="新宋体" w:eastAsia="文星仿宋"/>
                <w:b/>
                <w:sz w:val="24"/>
                <w:szCs w:val="24"/>
              </w:rPr>
              <w:t>（1）打造创业创新公共服务平台。</w:t>
            </w:r>
          </w:p>
        </w:tc>
        <w:tc>
          <w:tcPr>
            <w:tcW w:w="617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rPr>
              <w:t>加强双创示范基地、创业孵化基地、众创空间等“双创”平台建设，到“十四五”末，各类“双创”载体平台超过</w:t>
            </w:r>
            <w:r>
              <w:rPr>
                <w:rFonts w:hint="eastAsia" w:ascii="新宋体" w:hAnsi="新宋体" w:eastAsia="文星仿宋"/>
                <w:b/>
                <w:sz w:val="24"/>
                <w:szCs w:val="24"/>
                <w:lang w:val="en-US"/>
              </w:rPr>
              <w:t>100</w:t>
            </w:r>
            <w:r>
              <w:rPr>
                <w:rFonts w:hint="eastAsia" w:ascii="新宋体" w:hAnsi="新宋体" w:eastAsia="文星仿宋"/>
                <w:b/>
                <w:sz w:val="24"/>
                <w:szCs w:val="24"/>
              </w:rPr>
              <w:t>家。</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rPr>
              <w:t>“十四五”末</w:t>
            </w:r>
          </w:p>
        </w:tc>
        <w:tc>
          <w:tcPr>
            <w:tcW w:w="184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区发展改革局</w:t>
            </w:r>
            <w:r>
              <w:rPr>
                <w:rFonts w:hint="eastAsia" w:ascii="新宋体" w:hAnsi="新宋体" w:eastAsia="文星仿宋"/>
                <w:b/>
                <w:sz w:val="24"/>
                <w:szCs w:val="24"/>
              </w:rPr>
              <w:t>、</w:t>
            </w:r>
            <w:r>
              <w:rPr>
                <w:rFonts w:hint="eastAsia" w:ascii="新宋体" w:hAnsi="新宋体" w:eastAsia="文星仿宋"/>
                <w:b/>
                <w:sz w:val="24"/>
                <w:szCs w:val="24"/>
                <w:lang w:val="en-US"/>
              </w:rPr>
              <w:t>区工业和信息化局</w:t>
            </w:r>
            <w:r>
              <w:rPr>
                <w:rFonts w:hint="eastAsia" w:ascii="新宋体" w:hAnsi="新宋体" w:eastAsia="文星仿宋"/>
                <w:b/>
                <w:sz w:val="24"/>
                <w:szCs w:val="24"/>
              </w:rPr>
              <w:t>、</w:t>
            </w:r>
            <w:r>
              <w:rPr>
                <w:rFonts w:hint="eastAsia" w:ascii="新宋体" w:hAnsi="新宋体" w:eastAsia="文星仿宋"/>
                <w:b/>
                <w:sz w:val="24"/>
                <w:szCs w:val="24"/>
                <w:lang w:val="en-US"/>
              </w:rPr>
              <w:t>区人力资源社会保障局</w:t>
            </w:r>
          </w:p>
        </w:tc>
        <w:tc>
          <w:tcPr>
            <w:tcW w:w="2069" w:type="dxa"/>
            <w:vAlign w:val="center"/>
          </w:tcPr>
          <w:p>
            <w:pPr>
              <w:spacing w:line="360" w:lineRule="exact"/>
              <w:jc w:val="both"/>
              <w:rPr>
                <w:rFonts w:ascii="新宋体" w:hAnsi="新宋体" w:eastAsia="文星仿宋"/>
                <w:b/>
                <w:color w:val="000000" w:themeColor="text1"/>
                <w:sz w:val="24"/>
                <w:szCs w:val="24"/>
              </w:rPr>
            </w:pPr>
            <w:r>
              <w:rPr>
                <w:rFonts w:hint="eastAsia" w:ascii="新宋体" w:hAnsi="新宋体" w:eastAsia="文星仿宋"/>
                <w:b/>
                <w:color w:val="000000" w:themeColor="text1"/>
                <w:sz w:val="24"/>
                <w:szCs w:val="24"/>
              </w:rPr>
              <w:t>各街道、功能区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545" w:hRule="atLeast"/>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2</w:t>
            </w:r>
          </w:p>
        </w:tc>
        <w:tc>
          <w:tcPr>
            <w:tcW w:w="1337" w:type="dxa"/>
            <w:vMerge w:val="continue"/>
            <w:vAlign w:val="center"/>
          </w:tcPr>
          <w:p>
            <w:pPr>
              <w:spacing w:line="360" w:lineRule="exact"/>
              <w:jc w:val="both"/>
              <w:rPr>
                <w:rFonts w:ascii="新宋体" w:hAnsi="新宋体" w:eastAsia="文星仿宋"/>
                <w:b/>
                <w:sz w:val="24"/>
                <w:szCs w:val="24"/>
              </w:rPr>
            </w:pPr>
          </w:p>
        </w:tc>
        <w:tc>
          <w:tcPr>
            <w:tcW w:w="6173" w:type="dxa"/>
            <w:vAlign w:val="center"/>
          </w:tcPr>
          <w:p>
            <w:pPr>
              <w:pStyle w:val="16"/>
              <w:spacing w:line="360" w:lineRule="exact"/>
              <w:jc w:val="both"/>
              <w:rPr>
                <w:rFonts w:ascii="新宋体" w:hAnsi="新宋体" w:eastAsia="文星仿宋"/>
                <w:b/>
                <w:sz w:val="24"/>
                <w:szCs w:val="24"/>
              </w:rPr>
            </w:pPr>
            <w:r>
              <w:rPr>
                <w:rFonts w:hint="eastAsia" w:ascii="新宋体" w:hAnsi="新宋体" w:eastAsia="文星仿宋"/>
                <w:b/>
                <w:bCs/>
                <w:spacing w:val="-1"/>
                <w:sz w:val="24"/>
                <w:szCs w:val="24"/>
              </w:rPr>
              <w:t>发挥“科创中国”供需双方直接对接网络服务平台作用，鼓励企业、金融机构等组织通过平台反映需求、获取资源、寻求合作。</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rPr>
              <w:t>2023年年底</w:t>
            </w:r>
          </w:p>
        </w:tc>
        <w:tc>
          <w:tcPr>
            <w:tcW w:w="1843" w:type="dxa"/>
            <w:vAlign w:val="center"/>
          </w:tcPr>
          <w:p>
            <w:pPr>
              <w:spacing w:line="360" w:lineRule="exact"/>
              <w:jc w:val="both"/>
              <w:rPr>
                <w:rFonts w:ascii="新宋体" w:hAnsi="新宋体" w:eastAsia="文星仿宋"/>
                <w:b/>
                <w:sz w:val="24"/>
                <w:szCs w:val="24"/>
                <w:lang w:val="en-US"/>
              </w:rPr>
            </w:pPr>
            <w:r>
              <w:rPr>
                <w:rFonts w:hint="eastAsia" w:ascii="新宋体" w:hAnsi="新宋体" w:eastAsia="文星仿宋"/>
                <w:b/>
                <w:sz w:val="24"/>
                <w:szCs w:val="24"/>
                <w:lang w:val="en-US"/>
              </w:rPr>
              <w:t>区</w:t>
            </w:r>
            <w:r>
              <w:rPr>
                <w:rFonts w:hint="eastAsia" w:ascii="新宋体" w:hAnsi="新宋体" w:eastAsia="文星仿宋"/>
                <w:b/>
                <w:sz w:val="24"/>
                <w:szCs w:val="24"/>
              </w:rPr>
              <w:t>科协</w:t>
            </w:r>
          </w:p>
        </w:tc>
        <w:tc>
          <w:tcPr>
            <w:tcW w:w="2069"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区发展改革局</w:t>
            </w:r>
            <w:r>
              <w:rPr>
                <w:rFonts w:hint="eastAsia" w:ascii="新宋体" w:hAnsi="新宋体" w:eastAsia="文星仿宋"/>
                <w:b/>
                <w:sz w:val="24"/>
                <w:szCs w:val="24"/>
              </w:rPr>
              <w:t>、</w:t>
            </w:r>
            <w:r>
              <w:rPr>
                <w:rFonts w:hint="eastAsia" w:ascii="新宋体" w:hAnsi="新宋体" w:eastAsia="文星仿宋"/>
                <w:b/>
                <w:sz w:val="24"/>
                <w:szCs w:val="24"/>
                <w:lang w:val="en-US"/>
              </w:rPr>
              <w:t>区工业和信息化局（区科技局）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545" w:hRule="atLeast"/>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3</w:t>
            </w:r>
          </w:p>
        </w:tc>
        <w:tc>
          <w:tcPr>
            <w:tcW w:w="1337"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rPr>
              <w:t>（2）发展创业创新区域</w:t>
            </w:r>
            <w:r>
              <w:rPr>
                <w:rFonts w:hint="eastAsia" w:ascii="新宋体" w:hAnsi="新宋体" w:eastAsia="文星仿宋"/>
                <w:b/>
                <w:sz w:val="24"/>
                <w:szCs w:val="24"/>
                <w:lang w:val="en-US"/>
              </w:rPr>
              <w:t>平台。</w:t>
            </w:r>
          </w:p>
        </w:tc>
        <w:tc>
          <w:tcPr>
            <w:tcW w:w="617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积极探索创业创新体制机制、服务模式等新模式新方法。</w:t>
            </w:r>
            <w:r>
              <w:rPr>
                <w:rFonts w:hint="eastAsia" w:ascii="新宋体" w:hAnsi="新宋体" w:eastAsia="文星仿宋"/>
                <w:b/>
                <w:sz w:val="24"/>
                <w:szCs w:val="24"/>
              </w:rPr>
              <w:t>打造服务科技创新的融资体系、服务创新创业的投融资高地、服务中小微企业发展的金融组织体系。科创金融产品和服务创新力度持续增强，科创金融生态环境持续优化，科创金融资源要素市场更加完善，覆盖科技创新全周期的金融生态链基本形成，服务创业创新作用发挥明显。</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rPr>
              <w:t>2025年年底</w:t>
            </w:r>
          </w:p>
        </w:tc>
        <w:tc>
          <w:tcPr>
            <w:tcW w:w="1843" w:type="dxa"/>
            <w:vAlign w:val="center"/>
          </w:tcPr>
          <w:p>
            <w:pPr>
              <w:spacing w:line="360" w:lineRule="exact"/>
              <w:jc w:val="both"/>
              <w:rPr>
                <w:rFonts w:ascii="新宋体" w:hAnsi="新宋体" w:eastAsia="文星仿宋"/>
                <w:b/>
                <w:sz w:val="24"/>
                <w:szCs w:val="24"/>
                <w:lang w:val="en-US"/>
              </w:rPr>
            </w:pPr>
            <w:r>
              <w:rPr>
                <w:rFonts w:hint="eastAsia" w:ascii="新宋体" w:hAnsi="新宋体" w:eastAsia="文星仿宋"/>
                <w:b/>
                <w:sz w:val="24"/>
                <w:szCs w:val="24"/>
                <w:lang w:val="en-US"/>
              </w:rPr>
              <w:t>区工业和信息化局、区</w:t>
            </w:r>
            <w:r>
              <w:rPr>
                <w:rFonts w:hint="eastAsia" w:ascii="新宋体" w:hAnsi="新宋体" w:eastAsia="文星仿宋"/>
                <w:b/>
                <w:sz w:val="24"/>
                <w:szCs w:val="24"/>
              </w:rPr>
              <w:t>地方金融监管局、</w:t>
            </w:r>
            <w:r>
              <w:rPr>
                <w:rFonts w:hint="eastAsia" w:ascii="新宋体" w:hAnsi="新宋体" w:eastAsia="文星仿宋"/>
                <w:b/>
                <w:sz w:val="24"/>
                <w:szCs w:val="24"/>
                <w:lang w:val="en-US"/>
              </w:rPr>
              <w:t>区金融发展服务中心</w:t>
            </w:r>
          </w:p>
        </w:tc>
        <w:tc>
          <w:tcPr>
            <w:tcW w:w="2069" w:type="dxa"/>
            <w:vAlign w:val="center"/>
          </w:tcPr>
          <w:p>
            <w:pPr>
              <w:spacing w:line="360" w:lineRule="exact"/>
              <w:jc w:val="both"/>
              <w:rPr>
                <w:rFonts w:ascii="新宋体" w:hAnsi="新宋体" w:eastAsia="文星仿宋"/>
                <w:b/>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730" w:hRule="atLeast"/>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4</w:t>
            </w:r>
          </w:p>
        </w:tc>
        <w:tc>
          <w:tcPr>
            <w:tcW w:w="1337" w:type="dxa"/>
            <w:vAlign w:val="center"/>
          </w:tcPr>
          <w:p>
            <w:pPr>
              <w:spacing w:line="360" w:lineRule="exact"/>
              <w:jc w:val="both"/>
              <w:rPr>
                <w:rFonts w:ascii="新宋体" w:hAnsi="新宋体" w:eastAsia="文星仿宋"/>
                <w:b/>
                <w:sz w:val="24"/>
                <w:szCs w:val="24"/>
                <w:lang w:val="en-US"/>
              </w:rPr>
            </w:pPr>
            <w:r>
              <w:rPr>
                <w:rFonts w:hint="eastAsia" w:ascii="新宋体" w:hAnsi="新宋体" w:eastAsia="文星仿宋"/>
                <w:b/>
                <w:sz w:val="24"/>
                <w:szCs w:val="24"/>
                <w:lang w:val="en-US"/>
              </w:rPr>
              <w:t>（3</w:t>
            </w:r>
            <w:r>
              <w:rPr>
                <w:rFonts w:hint="eastAsia" w:ascii="新宋体" w:hAnsi="新宋体" w:eastAsia="文星仿宋"/>
                <w:b/>
                <w:sz w:val="24"/>
                <w:szCs w:val="24"/>
              </w:rPr>
              <w:t>）</w:t>
            </w:r>
            <w:r>
              <w:rPr>
                <w:rFonts w:hint="eastAsia" w:ascii="新宋体" w:hAnsi="新宋体" w:eastAsia="文星仿宋"/>
                <w:b/>
                <w:sz w:val="24"/>
                <w:szCs w:val="24"/>
                <w:lang w:val="en-US"/>
              </w:rPr>
              <w:t>建好重大科创载体平台。</w:t>
            </w:r>
          </w:p>
        </w:tc>
        <w:tc>
          <w:tcPr>
            <w:tcW w:w="6173" w:type="dxa"/>
            <w:vAlign w:val="center"/>
          </w:tcPr>
          <w:p>
            <w:pPr>
              <w:pStyle w:val="16"/>
              <w:spacing w:line="360" w:lineRule="exact"/>
              <w:jc w:val="both"/>
              <w:rPr>
                <w:rFonts w:ascii="新宋体" w:hAnsi="新宋体" w:eastAsia="文星仿宋"/>
                <w:b/>
                <w:kern w:val="2"/>
                <w:sz w:val="24"/>
                <w:szCs w:val="24"/>
              </w:rPr>
            </w:pPr>
            <w:r>
              <w:rPr>
                <w:rFonts w:hint="eastAsia" w:ascii="新宋体" w:hAnsi="新宋体" w:eastAsia="文星仿宋"/>
                <w:b/>
                <w:kern w:val="2"/>
                <w:sz w:val="24"/>
                <w:szCs w:val="24"/>
              </w:rPr>
              <w:t>依托各类开发区、产业集聚区等平台，引导产业集中集聚发展，支持建设产业转型升级示范园区。紧紧围绕全区重点产业提升，按照“一个产业集群、一个科创平台”的思路，重点推进精品钢、电子材料、粉末冶金、汽车零部件等产业的研发平台建设，支持企业、园区建设产业创新中心、重点实验室、工程技术研究中心、院士工作站等，加快构建多产业、多层次创新平台体系。积极帮助企业申报国家级和省级、市级各级研发平台，推动共享共用。建成科创中心，打造高层次科技创新平台和人才孵化基地。</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rPr>
              <w:t>“十四五”末</w:t>
            </w:r>
          </w:p>
        </w:tc>
        <w:tc>
          <w:tcPr>
            <w:tcW w:w="184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区科技局</w:t>
            </w:r>
          </w:p>
        </w:tc>
        <w:tc>
          <w:tcPr>
            <w:tcW w:w="2069"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区发展改革局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29" w:hRule="atLeast"/>
          <w:jc w:val="center"/>
        </w:trPr>
        <w:tc>
          <w:tcPr>
            <w:tcW w:w="13608" w:type="dxa"/>
            <w:gridSpan w:val="6"/>
            <w:vAlign w:val="center"/>
          </w:tcPr>
          <w:p>
            <w:pPr>
              <w:spacing w:line="360" w:lineRule="exact"/>
              <w:jc w:val="both"/>
              <w:rPr>
                <w:rFonts w:ascii="新宋体" w:hAnsi="新宋体" w:eastAsia="黑体"/>
                <w:b/>
                <w:sz w:val="24"/>
                <w:szCs w:val="24"/>
              </w:rPr>
            </w:pPr>
            <w:r>
              <w:rPr>
                <w:rFonts w:hint="eastAsia" w:ascii="新宋体" w:hAnsi="新宋体" w:eastAsia="黑体"/>
                <w:b/>
                <w:sz w:val="24"/>
                <w:szCs w:val="24"/>
              </w:rPr>
              <w:t>二、推行“双创+”模式，激发新动能。</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589" w:hRule="atLeast"/>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5</w:t>
            </w:r>
          </w:p>
        </w:tc>
        <w:tc>
          <w:tcPr>
            <w:tcW w:w="1337"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rPr>
              <w:t>（</w:t>
            </w:r>
            <w:r>
              <w:rPr>
                <w:rFonts w:hint="eastAsia" w:ascii="新宋体" w:hAnsi="新宋体" w:eastAsia="文星仿宋"/>
                <w:b/>
                <w:sz w:val="24"/>
                <w:szCs w:val="24"/>
                <w:lang w:val="en-US"/>
              </w:rPr>
              <w:t>4</w:t>
            </w:r>
            <w:r>
              <w:rPr>
                <w:rFonts w:hint="eastAsia" w:ascii="新宋体" w:hAnsi="新宋体" w:eastAsia="文星仿宋"/>
                <w:b/>
                <w:sz w:val="24"/>
                <w:szCs w:val="24"/>
              </w:rPr>
              <w:t>）推行“双创+产业园区”。</w:t>
            </w:r>
          </w:p>
        </w:tc>
        <w:tc>
          <w:tcPr>
            <w:tcW w:w="6173" w:type="dxa"/>
            <w:vAlign w:val="center"/>
          </w:tcPr>
          <w:p>
            <w:pPr>
              <w:pStyle w:val="16"/>
              <w:spacing w:line="360" w:lineRule="exact"/>
              <w:jc w:val="both"/>
              <w:rPr>
                <w:rFonts w:ascii="新宋体" w:hAnsi="新宋体" w:eastAsia="文星仿宋"/>
                <w:b/>
                <w:kern w:val="2"/>
                <w:sz w:val="24"/>
                <w:szCs w:val="24"/>
              </w:rPr>
            </w:pPr>
            <w:r>
              <w:rPr>
                <w:rFonts w:hint="eastAsia" w:ascii="新宋体" w:hAnsi="新宋体" w:eastAsia="文星仿宋"/>
                <w:b/>
                <w:sz w:val="24"/>
                <w:szCs w:val="24"/>
              </w:rPr>
              <w:t>将产业园区与“双创”结合，在经济开发区、工业园区、产业园区和特色园区搭建共享型“双创”服务平台，建设示范基地、创业创新孵化器、众创空间等双创载体，汇聚园区企业科技成果转化、人才等信息资源，开展创业创新活动。通过树立“共享”与“众创”理念，借助互联网+等技术工具，增强企业和“创客”的互动性和共建的实时性，提高园区公共资源的共享程度。支持园区建设技能实训平台、知识产权服务平台、研发检测平台等公共技术服务的平台，为企业提供创新创业之源。</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360" w:lineRule="exact"/>
              <w:jc w:val="both"/>
              <w:rPr>
                <w:rFonts w:ascii="新宋体" w:hAnsi="新宋体" w:eastAsia="文星仿宋"/>
                <w:b/>
                <w:color w:val="000000" w:themeColor="text1"/>
                <w:sz w:val="24"/>
                <w:szCs w:val="24"/>
                <w:lang w:val="en-US"/>
              </w:rPr>
            </w:pPr>
            <w:r>
              <w:rPr>
                <w:rFonts w:hint="eastAsia" w:ascii="新宋体" w:hAnsi="新宋体" w:eastAsia="文星仿宋"/>
                <w:b/>
                <w:color w:val="000000" w:themeColor="text1"/>
                <w:sz w:val="24"/>
                <w:szCs w:val="24"/>
                <w:lang w:val="en-US"/>
              </w:rPr>
              <w:t>各街道、功能区</w:t>
            </w:r>
          </w:p>
        </w:tc>
        <w:tc>
          <w:tcPr>
            <w:tcW w:w="2069"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区发展改革局</w:t>
            </w:r>
            <w:r>
              <w:rPr>
                <w:rFonts w:hint="eastAsia" w:ascii="新宋体" w:hAnsi="新宋体" w:eastAsia="文星仿宋"/>
                <w:b/>
                <w:sz w:val="24"/>
                <w:szCs w:val="24"/>
              </w:rPr>
              <w:t>、</w:t>
            </w:r>
            <w:r>
              <w:rPr>
                <w:rFonts w:hint="eastAsia" w:ascii="新宋体" w:hAnsi="新宋体" w:eastAsia="文星仿宋"/>
                <w:b/>
                <w:sz w:val="24"/>
                <w:szCs w:val="24"/>
                <w:lang w:val="en-US"/>
              </w:rPr>
              <w:t>区工业和信息化局（区科技局）</w:t>
            </w:r>
            <w:r>
              <w:rPr>
                <w:rFonts w:hint="eastAsia" w:ascii="新宋体" w:hAnsi="新宋体" w:eastAsia="文星仿宋"/>
                <w:b/>
                <w:sz w:val="24"/>
                <w:szCs w:val="24"/>
              </w:rPr>
              <w:t>、</w:t>
            </w:r>
            <w:r>
              <w:rPr>
                <w:rFonts w:hint="eastAsia" w:ascii="新宋体" w:hAnsi="新宋体" w:eastAsia="文星仿宋"/>
                <w:b/>
                <w:sz w:val="24"/>
                <w:szCs w:val="24"/>
                <w:lang w:val="en-US"/>
              </w:rPr>
              <w:t>区人力资源社会保障局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584" w:hRule="atLeast"/>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6</w:t>
            </w:r>
          </w:p>
        </w:tc>
        <w:tc>
          <w:tcPr>
            <w:tcW w:w="1337" w:type="dxa"/>
            <w:vMerge w:val="restart"/>
            <w:vAlign w:val="center"/>
          </w:tcPr>
          <w:p>
            <w:pPr>
              <w:pStyle w:val="16"/>
              <w:spacing w:line="360" w:lineRule="exact"/>
              <w:jc w:val="both"/>
              <w:rPr>
                <w:rFonts w:ascii="新宋体" w:hAnsi="新宋体" w:eastAsia="文星仿宋"/>
                <w:b/>
                <w:kern w:val="2"/>
                <w:sz w:val="24"/>
                <w:szCs w:val="24"/>
                <w:lang w:val="en-US"/>
              </w:rPr>
            </w:pPr>
            <w:r>
              <w:rPr>
                <w:rFonts w:hint="eastAsia" w:ascii="新宋体" w:hAnsi="新宋体" w:eastAsia="文星仿宋"/>
                <w:b/>
                <w:sz w:val="24"/>
                <w:szCs w:val="24"/>
              </w:rPr>
              <w:t>（</w:t>
            </w:r>
            <w:r>
              <w:rPr>
                <w:rFonts w:hint="eastAsia" w:ascii="新宋体" w:hAnsi="新宋体" w:eastAsia="文星仿宋"/>
                <w:b/>
                <w:sz w:val="24"/>
                <w:szCs w:val="24"/>
                <w:lang w:val="en-US"/>
              </w:rPr>
              <w:t>5</w:t>
            </w:r>
            <w:r>
              <w:rPr>
                <w:rFonts w:hint="eastAsia" w:ascii="新宋体" w:hAnsi="新宋体" w:eastAsia="文星仿宋"/>
                <w:b/>
                <w:sz w:val="24"/>
                <w:szCs w:val="24"/>
              </w:rPr>
              <w:t>）推行“双创+</w:t>
            </w:r>
            <w:r>
              <w:rPr>
                <w:rFonts w:hint="eastAsia" w:ascii="新宋体" w:hAnsi="新宋体" w:eastAsia="文星仿宋"/>
                <w:b/>
                <w:sz w:val="24"/>
                <w:szCs w:val="24"/>
                <w:lang w:val="en-US"/>
              </w:rPr>
              <w:t>骨干企业”。</w:t>
            </w:r>
          </w:p>
        </w:tc>
        <w:tc>
          <w:tcPr>
            <w:tcW w:w="6173" w:type="dxa"/>
            <w:vAlign w:val="center"/>
          </w:tcPr>
          <w:p>
            <w:pPr>
              <w:pStyle w:val="16"/>
              <w:spacing w:line="360" w:lineRule="exact"/>
              <w:jc w:val="both"/>
              <w:rPr>
                <w:rFonts w:ascii="新宋体" w:hAnsi="新宋体" w:eastAsia="文星仿宋"/>
                <w:b/>
                <w:kern w:val="2"/>
                <w:sz w:val="24"/>
                <w:szCs w:val="24"/>
              </w:rPr>
            </w:pPr>
            <w:r>
              <w:rPr>
                <w:rFonts w:hint="eastAsia" w:ascii="新宋体" w:hAnsi="新宋体" w:eastAsia="文星仿宋"/>
                <w:b/>
                <w:sz w:val="24"/>
                <w:szCs w:val="24"/>
              </w:rPr>
              <w:t>通过企业成立的众创空间等“双创”平台载体，将管理架构由层级型组织转向平台型组织，将财务管理、人力资源、供应链、技术研发等部门变为公共服务平台，为内部员工创新创业提供公共服务，形成独树一帜的骨干企业带动员工“双创”的新模式。</w:t>
            </w:r>
          </w:p>
        </w:tc>
        <w:tc>
          <w:tcPr>
            <w:tcW w:w="1559"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长期</w:t>
            </w:r>
          </w:p>
        </w:tc>
        <w:tc>
          <w:tcPr>
            <w:tcW w:w="184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区工业和信息化局</w:t>
            </w:r>
            <w:r>
              <w:rPr>
                <w:rFonts w:hint="eastAsia" w:ascii="新宋体" w:hAnsi="新宋体" w:eastAsia="文星仿宋"/>
                <w:b/>
                <w:sz w:val="24"/>
                <w:szCs w:val="24"/>
              </w:rPr>
              <w:t>、</w:t>
            </w:r>
            <w:r>
              <w:rPr>
                <w:rFonts w:hint="eastAsia" w:ascii="新宋体" w:hAnsi="新宋体" w:eastAsia="文星仿宋"/>
                <w:b/>
                <w:sz w:val="24"/>
                <w:szCs w:val="24"/>
                <w:lang w:val="en-US"/>
              </w:rPr>
              <w:t>区发展改革局</w:t>
            </w:r>
            <w:r>
              <w:rPr>
                <w:rFonts w:hint="eastAsia" w:ascii="新宋体" w:hAnsi="新宋体" w:eastAsia="文星仿宋"/>
                <w:b/>
                <w:sz w:val="24"/>
                <w:szCs w:val="24"/>
              </w:rPr>
              <w:t>、</w:t>
            </w:r>
            <w:r>
              <w:rPr>
                <w:rFonts w:hint="eastAsia" w:ascii="新宋体" w:hAnsi="新宋体" w:eastAsia="文星仿宋"/>
                <w:b/>
                <w:sz w:val="24"/>
                <w:szCs w:val="24"/>
                <w:lang w:val="en-US"/>
              </w:rPr>
              <w:t>区人力资源社会保障局</w:t>
            </w:r>
          </w:p>
        </w:tc>
        <w:tc>
          <w:tcPr>
            <w:tcW w:w="2069" w:type="dxa"/>
            <w:vAlign w:val="center"/>
          </w:tcPr>
          <w:p>
            <w:pPr>
              <w:spacing w:line="360" w:lineRule="exact"/>
              <w:jc w:val="both"/>
              <w:rPr>
                <w:rFonts w:ascii="新宋体" w:hAnsi="新宋体" w:eastAsia="文星仿宋"/>
                <w:b/>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50" w:hRule="atLeast"/>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7</w:t>
            </w:r>
          </w:p>
        </w:tc>
        <w:tc>
          <w:tcPr>
            <w:tcW w:w="1337" w:type="dxa"/>
            <w:vMerge w:val="continue"/>
            <w:vAlign w:val="center"/>
          </w:tcPr>
          <w:p>
            <w:pPr>
              <w:spacing w:line="360" w:lineRule="exact"/>
              <w:jc w:val="both"/>
              <w:rPr>
                <w:rFonts w:ascii="新宋体" w:hAnsi="新宋体" w:eastAsia="文星仿宋"/>
                <w:b/>
                <w:sz w:val="24"/>
                <w:szCs w:val="24"/>
              </w:rPr>
            </w:pPr>
          </w:p>
        </w:tc>
        <w:tc>
          <w:tcPr>
            <w:tcW w:w="6173" w:type="dxa"/>
            <w:vAlign w:val="center"/>
          </w:tcPr>
          <w:p>
            <w:pPr>
              <w:pStyle w:val="16"/>
              <w:spacing w:line="360" w:lineRule="exact"/>
              <w:jc w:val="both"/>
              <w:rPr>
                <w:rFonts w:ascii="新宋体" w:hAnsi="新宋体" w:eastAsia="文星仿宋"/>
                <w:b/>
                <w:kern w:val="2"/>
                <w:sz w:val="24"/>
                <w:szCs w:val="24"/>
              </w:rPr>
            </w:pPr>
            <w:r>
              <w:rPr>
                <w:rFonts w:hint="eastAsia" w:ascii="新宋体" w:hAnsi="新宋体" w:eastAsia="文星仿宋"/>
                <w:b/>
                <w:sz w:val="24"/>
                <w:szCs w:val="24"/>
              </w:rPr>
              <w:t>支持骨干企业与高校、协会、联盟、重点企业共同举办创业创新活动和“揭榜挂帅”等技术需求专项对接活动，开放重点龙头企业创新资源、场景应用及供应链市场，面向合作机构发布创新需求，推动产学研联合发展，推动技术成果商业化落地。</w:t>
            </w:r>
          </w:p>
        </w:tc>
        <w:tc>
          <w:tcPr>
            <w:tcW w:w="1559"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长期</w:t>
            </w:r>
          </w:p>
        </w:tc>
        <w:tc>
          <w:tcPr>
            <w:tcW w:w="184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区工业和信息化局</w:t>
            </w:r>
            <w:r>
              <w:rPr>
                <w:rFonts w:hint="eastAsia" w:ascii="新宋体" w:hAnsi="新宋体" w:eastAsia="文星仿宋"/>
                <w:b/>
                <w:sz w:val="24"/>
                <w:szCs w:val="24"/>
              </w:rPr>
              <w:t>、</w:t>
            </w:r>
            <w:r>
              <w:rPr>
                <w:rFonts w:hint="eastAsia" w:ascii="新宋体" w:hAnsi="新宋体" w:eastAsia="文星仿宋"/>
                <w:b/>
                <w:sz w:val="24"/>
                <w:szCs w:val="24"/>
                <w:lang w:val="en-US"/>
              </w:rPr>
              <w:t>区发展改革局</w:t>
            </w:r>
            <w:r>
              <w:rPr>
                <w:rFonts w:hint="eastAsia" w:ascii="新宋体" w:hAnsi="新宋体" w:eastAsia="文星仿宋"/>
                <w:b/>
                <w:sz w:val="24"/>
                <w:szCs w:val="24"/>
              </w:rPr>
              <w:t>、</w:t>
            </w:r>
            <w:r>
              <w:rPr>
                <w:rFonts w:hint="eastAsia" w:ascii="新宋体" w:hAnsi="新宋体" w:eastAsia="文星仿宋"/>
                <w:b/>
                <w:sz w:val="24"/>
                <w:szCs w:val="24"/>
                <w:lang w:val="en-US"/>
              </w:rPr>
              <w:t>区人力资源社会保障局</w:t>
            </w:r>
          </w:p>
        </w:tc>
        <w:tc>
          <w:tcPr>
            <w:tcW w:w="2069" w:type="dxa"/>
            <w:vAlign w:val="center"/>
          </w:tcPr>
          <w:p>
            <w:pPr>
              <w:pStyle w:val="16"/>
              <w:spacing w:line="360" w:lineRule="exact"/>
              <w:jc w:val="both"/>
              <w:rPr>
                <w:rFonts w:ascii="新宋体" w:hAnsi="新宋体" w:eastAsia="文星仿宋"/>
                <w:b/>
                <w:kern w:val="2"/>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34" w:hRule="atLeast"/>
          <w:jc w:val="center"/>
        </w:trPr>
        <w:tc>
          <w:tcPr>
            <w:tcW w:w="13608" w:type="dxa"/>
            <w:gridSpan w:val="6"/>
            <w:vAlign w:val="center"/>
          </w:tcPr>
          <w:p>
            <w:pPr>
              <w:spacing w:line="360" w:lineRule="exact"/>
              <w:jc w:val="both"/>
              <w:rPr>
                <w:rFonts w:ascii="新宋体" w:hAnsi="新宋体" w:eastAsia="黑体"/>
                <w:b/>
                <w:sz w:val="24"/>
                <w:szCs w:val="24"/>
              </w:rPr>
            </w:pPr>
            <w:r>
              <w:rPr>
                <w:rFonts w:hint="eastAsia" w:ascii="新宋体" w:hAnsi="新宋体" w:eastAsia="黑体"/>
                <w:b/>
                <w:sz w:val="24"/>
                <w:szCs w:val="24"/>
              </w:rPr>
              <w:t>三、创新体制机制，优化创业创新环境。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251" w:hRule="atLeast"/>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8</w:t>
            </w:r>
          </w:p>
        </w:tc>
        <w:tc>
          <w:tcPr>
            <w:tcW w:w="1337" w:type="dxa"/>
            <w:vMerge w:val="restart"/>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rPr>
              <w:t>（</w:t>
            </w:r>
            <w:r>
              <w:rPr>
                <w:rFonts w:hint="eastAsia" w:ascii="新宋体" w:hAnsi="新宋体" w:eastAsia="文星仿宋"/>
                <w:b/>
                <w:sz w:val="24"/>
                <w:szCs w:val="24"/>
                <w:lang w:val="en-US"/>
              </w:rPr>
              <w:t>6</w:t>
            </w:r>
            <w:r>
              <w:rPr>
                <w:rFonts w:hint="eastAsia" w:ascii="新宋体" w:hAnsi="新宋体" w:eastAsia="文星仿宋"/>
                <w:b/>
                <w:sz w:val="24"/>
                <w:szCs w:val="24"/>
              </w:rPr>
              <w:t>）完善公平竞争的市场环境。</w:t>
            </w:r>
          </w:p>
        </w:tc>
        <w:tc>
          <w:tcPr>
            <w:tcW w:w="6173" w:type="dxa"/>
            <w:vAlign w:val="center"/>
          </w:tcPr>
          <w:p>
            <w:pPr>
              <w:pStyle w:val="16"/>
              <w:spacing w:line="360" w:lineRule="exact"/>
              <w:jc w:val="both"/>
              <w:rPr>
                <w:rFonts w:ascii="新宋体" w:hAnsi="新宋体" w:eastAsia="文星仿宋"/>
                <w:b/>
                <w:kern w:val="2"/>
                <w:sz w:val="24"/>
                <w:szCs w:val="24"/>
              </w:rPr>
            </w:pPr>
            <w:r>
              <w:rPr>
                <w:rFonts w:hint="eastAsia" w:ascii="新宋体" w:hAnsi="新宋体" w:eastAsia="文星仿宋"/>
                <w:b/>
                <w:sz w:val="24"/>
                <w:szCs w:val="24"/>
              </w:rPr>
              <w:t>持续强化优化营商环境制度供给，清理取消企业在资质资格获取、招投标、政府采购、权益保护等方面存在的差别化待遇。</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lang w:val="en-US"/>
              </w:rPr>
              <w:t>长期</w:t>
            </w:r>
          </w:p>
        </w:tc>
        <w:tc>
          <w:tcPr>
            <w:tcW w:w="184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w:t>
            </w:r>
            <w:r>
              <w:rPr>
                <w:rFonts w:hint="eastAsia" w:ascii="新宋体" w:hAnsi="新宋体" w:eastAsia="文星仿宋"/>
                <w:b/>
                <w:sz w:val="24"/>
                <w:szCs w:val="24"/>
              </w:rPr>
              <w:t>市场监管局</w:t>
            </w:r>
          </w:p>
        </w:tc>
        <w:tc>
          <w:tcPr>
            <w:tcW w:w="2069" w:type="dxa"/>
            <w:vAlign w:val="center"/>
          </w:tcPr>
          <w:p>
            <w:pPr>
              <w:spacing w:line="360" w:lineRule="exact"/>
              <w:jc w:val="both"/>
              <w:rPr>
                <w:rFonts w:ascii="新宋体" w:hAnsi="新宋体" w:eastAsia="文星仿宋"/>
                <w:b/>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411" w:hRule="atLeast"/>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9</w:t>
            </w:r>
          </w:p>
        </w:tc>
        <w:tc>
          <w:tcPr>
            <w:tcW w:w="1337" w:type="dxa"/>
            <w:vMerge w:val="continue"/>
            <w:vAlign w:val="center"/>
          </w:tcPr>
          <w:p>
            <w:pPr>
              <w:spacing w:line="360" w:lineRule="exact"/>
              <w:jc w:val="both"/>
              <w:rPr>
                <w:rFonts w:ascii="新宋体" w:hAnsi="新宋体" w:eastAsia="文星仿宋"/>
                <w:b/>
                <w:sz w:val="24"/>
                <w:szCs w:val="24"/>
              </w:rPr>
            </w:pPr>
          </w:p>
        </w:tc>
        <w:tc>
          <w:tcPr>
            <w:tcW w:w="617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rPr>
              <w:t>强化公平竞争审查刚性约束，按照“谁制定、谁审查”原则，开展政策措施公平竞争审查，做到应审尽审，探索创新独立公平竞争审查模式，推动建立第三方评估制度。</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lang w:val="en-US"/>
              </w:rPr>
              <w:t>长期</w:t>
            </w:r>
          </w:p>
        </w:tc>
        <w:tc>
          <w:tcPr>
            <w:tcW w:w="184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w:t>
            </w:r>
            <w:r>
              <w:rPr>
                <w:rFonts w:hint="eastAsia" w:ascii="新宋体" w:hAnsi="新宋体" w:eastAsia="文星仿宋"/>
                <w:b/>
                <w:sz w:val="24"/>
                <w:szCs w:val="24"/>
              </w:rPr>
              <w:t>市场监管局</w:t>
            </w:r>
          </w:p>
        </w:tc>
        <w:tc>
          <w:tcPr>
            <w:tcW w:w="2069" w:type="dxa"/>
            <w:vAlign w:val="center"/>
          </w:tcPr>
          <w:p>
            <w:pPr>
              <w:spacing w:line="360" w:lineRule="exact"/>
              <w:jc w:val="both"/>
              <w:rPr>
                <w:rFonts w:ascii="新宋体" w:hAnsi="新宋体" w:eastAsia="文星仿宋"/>
                <w:b/>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117" w:hRule="atLeast"/>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10</w:t>
            </w:r>
          </w:p>
        </w:tc>
        <w:tc>
          <w:tcPr>
            <w:tcW w:w="1337" w:type="dxa"/>
            <w:vMerge w:val="continue"/>
            <w:vAlign w:val="center"/>
          </w:tcPr>
          <w:p>
            <w:pPr>
              <w:spacing w:line="360" w:lineRule="exact"/>
              <w:jc w:val="both"/>
              <w:rPr>
                <w:rFonts w:ascii="新宋体" w:hAnsi="新宋体" w:eastAsia="文星仿宋"/>
                <w:b/>
                <w:sz w:val="24"/>
                <w:szCs w:val="24"/>
              </w:rPr>
            </w:pPr>
          </w:p>
        </w:tc>
        <w:tc>
          <w:tcPr>
            <w:tcW w:w="617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rPr>
              <w:t>加强和改进反垄断与反不正当竞争执法。围绕重点领域，配合上级市场监管部门加大反垄断监督执法力度。</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lang w:val="en-US"/>
              </w:rPr>
              <w:t>长期</w:t>
            </w:r>
          </w:p>
        </w:tc>
        <w:tc>
          <w:tcPr>
            <w:tcW w:w="184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w:t>
            </w:r>
            <w:r>
              <w:rPr>
                <w:rFonts w:hint="eastAsia" w:ascii="新宋体" w:hAnsi="新宋体" w:eastAsia="文星仿宋"/>
                <w:b/>
                <w:sz w:val="24"/>
                <w:szCs w:val="24"/>
              </w:rPr>
              <w:t>市场监管局</w:t>
            </w:r>
          </w:p>
        </w:tc>
        <w:tc>
          <w:tcPr>
            <w:tcW w:w="2069" w:type="dxa"/>
            <w:vAlign w:val="center"/>
          </w:tcPr>
          <w:p>
            <w:pPr>
              <w:spacing w:line="360" w:lineRule="exact"/>
              <w:jc w:val="both"/>
              <w:rPr>
                <w:rFonts w:ascii="新宋体" w:hAnsi="新宋体" w:eastAsia="文星仿宋"/>
                <w:b/>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753" w:hRule="atLeast"/>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11</w:t>
            </w:r>
          </w:p>
        </w:tc>
        <w:tc>
          <w:tcPr>
            <w:tcW w:w="1337" w:type="dxa"/>
            <w:vMerge w:val="restart"/>
            <w:vAlign w:val="center"/>
          </w:tcPr>
          <w:p>
            <w:pPr>
              <w:tabs>
                <w:tab w:val="left" w:pos="437"/>
              </w:tabs>
              <w:spacing w:line="360" w:lineRule="exact"/>
              <w:jc w:val="both"/>
              <w:rPr>
                <w:rFonts w:ascii="新宋体" w:hAnsi="新宋体" w:eastAsia="文星仿宋"/>
                <w:b/>
                <w:sz w:val="24"/>
                <w:szCs w:val="24"/>
                <w:lang w:val="en-US"/>
              </w:rPr>
            </w:pPr>
            <w:r>
              <w:rPr>
                <w:rFonts w:hint="eastAsia" w:ascii="新宋体" w:hAnsi="新宋体" w:eastAsia="文星仿宋"/>
                <w:b/>
                <w:sz w:val="24"/>
                <w:szCs w:val="24"/>
                <w:lang w:val="en-US"/>
              </w:rPr>
              <w:t>（7）</w:t>
            </w:r>
            <w:r>
              <w:rPr>
                <w:rFonts w:hint="eastAsia" w:ascii="新宋体" w:hAnsi="新宋体" w:eastAsia="文星仿宋"/>
                <w:b/>
                <w:sz w:val="24"/>
                <w:szCs w:val="24"/>
              </w:rPr>
              <w:t>深化商事制度改革。</w:t>
            </w:r>
          </w:p>
        </w:tc>
        <w:tc>
          <w:tcPr>
            <w:tcW w:w="617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rPr>
              <w:t>持续推进“放管服”改革，提升政务服务“双全双百”工程，深化“一网通办”“一链办理”，实现企业开办全流程一环节、零成本、半天办结。</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w:t>
            </w:r>
            <w:r>
              <w:rPr>
                <w:rFonts w:hint="eastAsia" w:ascii="新宋体" w:hAnsi="新宋体" w:eastAsia="文星仿宋"/>
                <w:b/>
                <w:sz w:val="24"/>
                <w:szCs w:val="24"/>
              </w:rPr>
              <w:t>行政审批服务局</w:t>
            </w:r>
          </w:p>
        </w:tc>
        <w:tc>
          <w:tcPr>
            <w:tcW w:w="2069"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区人力资源社会保障局</w:t>
            </w:r>
            <w:r>
              <w:rPr>
                <w:rFonts w:hint="eastAsia" w:ascii="新宋体" w:hAnsi="新宋体" w:eastAsia="文星仿宋"/>
                <w:b/>
                <w:sz w:val="24"/>
                <w:szCs w:val="24"/>
              </w:rPr>
              <w:t>、</w:t>
            </w:r>
            <w:r>
              <w:rPr>
                <w:rFonts w:hint="eastAsia" w:ascii="新宋体" w:hAnsi="新宋体" w:eastAsia="文星仿宋"/>
                <w:b/>
                <w:sz w:val="24"/>
                <w:szCs w:val="24"/>
                <w:lang w:val="en-US"/>
              </w:rPr>
              <w:t>区</w:t>
            </w:r>
            <w:r>
              <w:rPr>
                <w:rFonts w:hint="eastAsia" w:ascii="新宋体" w:hAnsi="新宋体" w:eastAsia="文星仿宋"/>
                <w:b/>
                <w:sz w:val="24"/>
                <w:szCs w:val="24"/>
              </w:rPr>
              <w:t>市场监管局等相关单位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49" w:hRule="atLeast"/>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12</w:t>
            </w:r>
          </w:p>
        </w:tc>
        <w:tc>
          <w:tcPr>
            <w:tcW w:w="1337" w:type="dxa"/>
            <w:vMerge w:val="continue"/>
            <w:vAlign w:val="center"/>
          </w:tcPr>
          <w:p>
            <w:pPr>
              <w:spacing w:line="360" w:lineRule="exact"/>
              <w:jc w:val="both"/>
              <w:rPr>
                <w:rFonts w:ascii="新宋体" w:hAnsi="新宋体" w:eastAsia="文星仿宋"/>
                <w:b/>
                <w:sz w:val="24"/>
                <w:szCs w:val="24"/>
              </w:rPr>
            </w:pPr>
          </w:p>
        </w:tc>
        <w:tc>
          <w:tcPr>
            <w:tcW w:w="617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贯彻落实</w:t>
            </w:r>
            <w:r>
              <w:rPr>
                <w:rFonts w:hint="eastAsia" w:ascii="新宋体" w:hAnsi="新宋体" w:eastAsia="文星仿宋"/>
                <w:b/>
                <w:sz w:val="24"/>
                <w:szCs w:val="24"/>
              </w:rPr>
              <w:t>工程建设项目审批制度改革优化提升方案，持续推进工程建设项目审批制度改革。</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w:t>
            </w:r>
            <w:r>
              <w:rPr>
                <w:rFonts w:hint="eastAsia" w:ascii="新宋体" w:hAnsi="新宋体" w:eastAsia="文星仿宋"/>
                <w:b/>
                <w:sz w:val="24"/>
                <w:szCs w:val="24"/>
              </w:rPr>
              <w:t>行政审批服务局</w:t>
            </w:r>
          </w:p>
        </w:tc>
        <w:tc>
          <w:tcPr>
            <w:tcW w:w="2069" w:type="dxa"/>
            <w:vAlign w:val="center"/>
          </w:tcPr>
          <w:p>
            <w:pPr>
              <w:pStyle w:val="16"/>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w:t>
            </w:r>
            <w:r>
              <w:rPr>
                <w:rFonts w:hint="eastAsia" w:ascii="新宋体" w:hAnsi="新宋体" w:eastAsia="文星仿宋"/>
                <w:b/>
                <w:sz w:val="24"/>
                <w:szCs w:val="24"/>
              </w:rPr>
              <w:t>工程建设项目审批制度改革领导小组成员单位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13</w:t>
            </w:r>
          </w:p>
        </w:tc>
        <w:tc>
          <w:tcPr>
            <w:tcW w:w="1337" w:type="dxa"/>
            <w:vMerge w:val="continue"/>
            <w:vAlign w:val="center"/>
          </w:tcPr>
          <w:p>
            <w:pPr>
              <w:spacing w:line="360" w:lineRule="exact"/>
              <w:jc w:val="both"/>
              <w:rPr>
                <w:rFonts w:ascii="新宋体" w:hAnsi="新宋体" w:eastAsia="文星仿宋"/>
                <w:b/>
                <w:sz w:val="24"/>
                <w:szCs w:val="24"/>
              </w:rPr>
            </w:pPr>
          </w:p>
        </w:tc>
        <w:tc>
          <w:tcPr>
            <w:tcW w:w="617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rPr>
              <w:t>依托济南市企业服务综合智慧平台落实优惠政策集中推送机制，实行标签化管理。深化“证照分离”改革，全面应用电子证照，逐步实现电子印章与电子营业执照全面同步发放，提高企业开办便利化水平。</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w:t>
            </w:r>
            <w:r>
              <w:rPr>
                <w:rFonts w:hint="eastAsia" w:ascii="新宋体" w:hAnsi="新宋体" w:eastAsia="文星仿宋"/>
                <w:b/>
                <w:sz w:val="24"/>
                <w:szCs w:val="24"/>
              </w:rPr>
              <w:t>行政审批服务局</w:t>
            </w:r>
          </w:p>
        </w:tc>
        <w:tc>
          <w:tcPr>
            <w:tcW w:w="2069" w:type="dxa"/>
            <w:vAlign w:val="center"/>
          </w:tcPr>
          <w:p>
            <w:pPr>
              <w:spacing w:line="360" w:lineRule="exact"/>
              <w:jc w:val="both"/>
              <w:rPr>
                <w:rFonts w:ascii="新宋体" w:hAnsi="新宋体" w:eastAsia="文星仿宋"/>
                <w:b/>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14</w:t>
            </w:r>
          </w:p>
        </w:tc>
        <w:tc>
          <w:tcPr>
            <w:tcW w:w="1337" w:type="dxa"/>
            <w:vMerge w:val="restart"/>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rPr>
              <w:t>（</w:t>
            </w:r>
            <w:r>
              <w:rPr>
                <w:rFonts w:hint="eastAsia" w:ascii="新宋体" w:hAnsi="新宋体" w:eastAsia="文星仿宋"/>
                <w:b/>
                <w:sz w:val="24"/>
                <w:szCs w:val="24"/>
                <w:lang w:val="en-US"/>
              </w:rPr>
              <w:t>8</w:t>
            </w:r>
            <w:r>
              <w:rPr>
                <w:rFonts w:hint="eastAsia" w:ascii="新宋体" w:hAnsi="新宋体" w:eastAsia="文星仿宋"/>
                <w:b/>
                <w:sz w:val="24"/>
                <w:szCs w:val="24"/>
              </w:rPr>
              <w:t>）提高科技服务供给质量。</w:t>
            </w:r>
          </w:p>
        </w:tc>
        <w:tc>
          <w:tcPr>
            <w:tcW w:w="6173" w:type="dxa"/>
            <w:vAlign w:val="center"/>
          </w:tcPr>
          <w:p>
            <w:pPr>
              <w:pStyle w:val="16"/>
              <w:spacing w:line="360" w:lineRule="exact"/>
              <w:jc w:val="both"/>
              <w:rPr>
                <w:rFonts w:ascii="新宋体" w:hAnsi="新宋体" w:eastAsia="文星仿宋"/>
                <w:b/>
                <w:sz w:val="24"/>
                <w:szCs w:val="24"/>
              </w:rPr>
            </w:pPr>
            <w:r>
              <w:rPr>
                <w:rFonts w:hint="eastAsia" w:ascii="新宋体" w:hAnsi="新宋体" w:eastAsia="文星仿宋"/>
                <w:b/>
                <w:sz w:val="24"/>
                <w:szCs w:val="24"/>
              </w:rPr>
              <w:t>聚焦科技成果“供给端”“吸纳端”，提供一站式、生态化全流程服务，打通科技创新要素向企业集聚、科技成果向企业输出通道。</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区科技局</w:t>
            </w:r>
          </w:p>
        </w:tc>
        <w:tc>
          <w:tcPr>
            <w:tcW w:w="2069" w:type="dxa"/>
            <w:vAlign w:val="center"/>
          </w:tcPr>
          <w:p>
            <w:pPr>
              <w:spacing w:line="360" w:lineRule="exact"/>
              <w:jc w:val="both"/>
              <w:rPr>
                <w:rFonts w:ascii="新宋体" w:hAnsi="新宋体" w:eastAsia="文星仿宋"/>
                <w:b/>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43" w:hRule="atLeast"/>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15</w:t>
            </w:r>
          </w:p>
        </w:tc>
        <w:tc>
          <w:tcPr>
            <w:tcW w:w="1337" w:type="dxa"/>
            <w:vMerge w:val="continue"/>
            <w:vAlign w:val="center"/>
          </w:tcPr>
          <w:p>
            <w:pPr>
              <w:spacing w:line="360" w:lineRule="exact"/>
              <w:jc w:val="both"/>
              <w:rPr>
                <w:rFonts w:ascii="新宋体" w:hAnsi="新宋体" w:eastAsia="文星仿宋"/>
                <w:b/>
                <w:sz w:val="24"/>
                <w:szCs w:val="24"/>
              </w:rPr>
            </w:pPr>
          </w:p>
        </w:tc>
        <w:tc>
          <w:tcPr>
            <w:tcW w:w="617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rPr>
              <w:t>鼓励中小微企业、创新创业团队和创客开展创新创业活动，资助其向高校、科研院所及其他服务机构购买用于创新发展的管理咨询、研发、中试、检验检测、创业辅导、投资融资等专业服务。</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区科技局</w:t>
            </w:r>
          </w:p>
        </w:tc>
        <w:tc>
          <w:tcPr>
            <w:tcW w:w="2069" w:type="dxa"/>
            <w:vAlign w:val="center"/>
          </w:tcPr>
          <w:p>
            <w:pPr>
              <w:spacing w:line="360" w:lineRule="exact"/>
              <w:jc w:val="both"/>
              <w:rPr>
                <w:rFonts w:ascii="新宋体" w:hAnsi="新宋体" w:eastAsia="文星仿宋"/>
                <w:b/>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16</w:t>
            </w:r>
          </w:p>
        </w:tc>
        <w:tc>
          <w:tcPr>
            <w:tcW w:w="1337" w:type="dxa"/>
            <w:vAlign w:val="center"/>
          </w:tcPr>
          <w:p>
            <w:pPr>
              <w:spacing w:line="360" w:lineRule="exact"/>
              <w:jc w:val="both"/>
              <w:rPr>
                <w:rFonts w:ascii="新宋体" w:hAnsi="新宋体" w:eastAsia="文星仿宋"/>
                <w:b/>
                <w:sz w:val="24"/>
                <w:szCs w:val="24"/>
                <w:lang w:val="en-US"/>
              </w:rPr>
            </w:pPr>
            <w:r>
              <w:rPr>
                <w:rFonts w:hint="eastAsia" w:ascii="新宋体" w:hAnsi="新宋体" w:eastAsia="文星仿宋"/>
                <w:b/>
                <w:sz w:val="24"/>
                <w:szCs w:val="24"/>
              </w:rPr>
              <w:t>（</w:t>
            </w:r>
            <w:r>
              <w:rPr>
                <w:rFonts w:hint="eastAsia" w:ascii="新宋体" w:hAnsi="新宋体" w:eastAsia="文星仿宋"/>
                <w:b/>
                <w:sz w:val="24"/>
                <w:szCs w:val="24"/>
                <w:lang w:val="en-US"/>
              </w:rPr>
              <w:t>9</w:t>
            </w:r>
            <w:r>
              <w:rPr>
                <w:rFonts w:hint="eastAsia" w:ascii="新宋体" w:hAnsi="新宋体" w:eastAsia="文星仿宋"/>
                <w:b/>
                <w:sz w:val="24"/>
                <w:szCs w:val="24"/>
              </w:rPr>
              <w:t>）建立健全尽职</w:t>
            </w:r>
            <w:r>
              <w:rPr>
                <w:rFonts w:hint="eastAsia" w:ascii="新宋体" w:hAnsi="新宋体" w:eastAsia="文星仿宋"/>
                <w:b/>
                <w:sz w:val="24"/>
                <w:szCs w:val="24"/>
                <w:lang w:val="en-US"/>
              </w:rPr>
              <w:t>免责机制。</w:t>
            </w:r>
          </w:p>
        </w:tc>
        <w:tc>
          <w:tcPr>
            <w:tcW w:w="6173" w:type="dxa"/>
            <w:vAlign w:val="center"/>
          </w:tcPr>
          <w:p>
            <w:pPr>
              <w:pStyle w:val="16"/>
              <w:spacing w:line="360" w:lineRule="exact"/>
              <w:jc w:val="both"/>
              <w:rPr>
                <w:rFonts w:ascii="新宋体" w:hAnsi="新宋体" w:eastAsia="文星仿宋"/>
                <w:b/>
                <w:sz w:val="24"/>
                <w:szCs w:val="24"/>
              </w:rPr>
            </w:pPr>
            <w:r>
              <w:rPr>
                <w:rFonts w:hint="eastAsia" w:ascii="新宋体" w:hAnsi="新宋体" w:eastAsia="文星仿宋"/>
                <w:b/>
                <w:sz w:val="24"/>
                <w:szCs w:val="24"/>
              </w:rPr>
              <w:t>秉持鼓励创新、宽容失误的理念，对双创主体和管理主体在科技体制改革和创新创业工作中出现探索性失误，但已勤勉尽责、未谋取私利、未违反法律法规的禁止性规定、未造成重大损失和社会负面影响的，经过相应的决策程序，可免除相关责任，不作负面评价。</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rPr>
              <w:t>相关部门单位</w:t>
            </w:r>
          </w:p>
        </w:tc>
        <w:tc>
          <w:tcPr>
            <w:tcW w:w="2069" w:type="dxa"/>
            <w:vAlign w:val="center"/>
          </w:tcPr>
          <w:p>
            <w:pPr>
              <w:spacing w:line="360" w:lineRule="exact"/>
              <w:jc w:val="both"/>
              <w:rPr>
                <w:rFonts w:ascii="新宋体" w:hAnsi="新宋体" w:eastAsia="文星仿宋"/>
                <w:b/>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753" w:hRule="atLeast"/>
          <w:jc w:val="center"/>
        </w:trPr>
        <w:tc>
          <w:tcPr>
            <w:tcW w:w="627" w:type="dxa"/>
            <w:vAlign w:val="center"/>
          </w:tcPr>
          <w:p>
            <w:pPr>
              <w:spacing w:line="320" w:lineRule="exact"/>
              <w:jc w:val="center"/>
              <w:rPr>
                <w:rFonts w:ascii="新宋体" w:hAnsi="新宋体" w:eastAsia="文星仿宋"/>
                <w:b/>
                <w:color w:val="000000" w:themeColor="text1"/>
                <w:sz w:val="24"/>
                <w:szCs w:val="24"/>
                <w:lang w:val="en-US"/>
              </w:rPr>
            </w:pPr>
            <w:r>
              <w:rPr>
                <w:rFonts w:hint="eastAsia" w:ascii="新宋体" w:hAnsi="新宋体" w:eastAsia="文星仿宋"/>
                <w:b/>
                <w:color w:val="000000" w:themeColor="text1"/>
                <w:sz w:val="24"/>
                <w:szCs w:val="24"/>
                <w:lang w:val="en-US"/>
              </w:rPr>
              <w:t>17</w:t>
            </w:r>
          </w:p>
        </w:tc>
        <w:tc>
          <w:tcPr>
            <w:tcW w:w="1337" w:type="dxa"/>
            <w:vAlign w:val="center"/>
          </w:tcPr>
          <w:p>
            <w:pPr>
              <w:spacing w:line="360" w:lineRule="exact"/>
              <w:jc w:val="both"/>
              <w:rPr>
                <w:rFonts w:ascii="新宋体" w:hAnsi="新宋体" w:eastAsia="文星仿宋"/>
                <w:b/>
                <w:color w:val="000000" w:themeColor="text1"/>
                <w:sz w:val="24"/>
                <w:szCs w:val="24"/>
                <w:lang w:val="en-US"/>
              </w:rPr>
            </w:pPr>
            <w:r>
              <w:rPr>
                <w:rFonts w:hint="eastAsia" w:ascii="新宋体" w:hAnsi="新宋体" w:eastAsia="文星仿宋"/>
                <w:b/>
                <w:color w:val="000000" w:themeColor="text1"/>
                <w:sz w:val="24"/>
                <w:szCs w:val="24"/>
              </w:rPr>
              <w:t>（</w:t>
            </w:r>
            <w:r>
              <w:rPr>
                <w:rFonts w:hint="eastAsia" w:ascii="新宋体" w:hAnsi="新宋体" w:eastAsia="文星仿宋"/>
                <w:b/>
                <w:color w:val="000000" w:themeColor="text1"/>
                <w:sz w:val="24"/>
                <w:szCs w:val="24"/>
                <w:lang w:val="en-US"/>
              </w:rPr>
              <w:t>9</w:t>
            </w:r>
            <w:r>
              <w:rPr>
                <w:rFonts w:hint="eastAsia" w:ascii="新宋体" w:hAnsi="新宋体" w:eastAsia="文星仿宋"/>
                <w:b/>
                <w:color w:val="000000" w:themeColor="text1"/>
                <w:sz w:val="24"/>
                <w:szCs w:val="24"/>
              </w:rPr>
              <w:t>）建立健全尽职</w:t>
            </w:r>
            <w:r>
              <w:rPr>
                <w:rFonts w:hint="eastAsia" w:ascii="新宋体" w:hAnsi="新宋体" w:eastAsia="文星仿宋"/>
                <w:b/>
                <w:color w:val="000000" w:themeColor="text1"/>
                <w:sz w:val="24"/>
                <w:szCs w:val="24"/>
                <w:lang w:val="en-US"/>
              </w:rPr>
              <w:t>免责机制。</w:t>
            </w:r>
          </w:p>
        </w:tc>
        <w:tc>
          <w:tcPr>
            <w:tcW w:w="6173" w:type="dxa"/>
            <w:vAlign w:val="center"/>
          </w:tcPr>
          <w:p>
            <w:pPr>
              <w:spacing w:line="320" w:lineRule="exact"/>
              <w:jc w:val="both"/>
              <w:rPr>
                <w:rFonts w:ascii="新宋体" w:hAnsi="新宋体" w:eastAsia="文星仿宋"/>
                <w:b/>
                <w:color w:val="000000" w:themeColor="text1"/>
                <w:sz w:val="24"/>
                <w:szCs w:val="24"/>
              </w:rPr>
            </w:pPr>
            <w:r>
              <w:rPr>
                <w:rFonts w:hint="eastAsia" w:ascii="新宋体" w:hAnsi="新宋体" w:eastAsia="文星仿宋"/>
                <w:b/>
                <w:color w:val="000000" w:themeColor="text1"/>
                <w:sz w:val="24"/>
                <w:szCs w:val="24"/>
              </w:rPr>
              <w:t>突出正向激励导向，完善双创工作容错纠错程序，形成“容错申请、调查启动、调查核实、组织认定”全链式工作流程，畅通容错免责渠道。</w:t>
            </w:r>
          </w:p>
        </w:tc>
        <w:tc>
          <w:tcPr>
            <w:tcW w:w="1559" w:type="dxa"/>
            <w:vAlign w:val="center"/>
          </w:tcPr>
          <w:p>
            <w:pPr>
              <w:spacing w:line="360" w:lineRule="exact"/>
              <w:jc w:val="center"/>
              <w:rPr>
                <w:rFonts w:ascii="新宋体" w:hAnsi="新宋体" w:eastAsia="文星仿宋"/>
                <w:b/>
                <w:color w:val="000000" w:themeColor="text1"/>
                <w:sz w:val="24"/>
                <w:szCs w:val="24"/>
              </w:rPr>
            </w:pPr>
            <w:r>
              <w:rPr>
                <w:rFonts w:hint="eastAsia" w:ascii="新宋体" w:hAnsi="新宋体" w:eastAsia="文星仿宋"/>
                <w:b/>
                <w:color w:val="000000" w:themeColor="text1"/>
                <w:sz w:val="24"/>
                <w:szCs w:val="24"/>
              </w:rPr>
              <w:t>长期</w:t>
            </w:r>
          </w:p>
        </w:tc>
        <w:tc>
          <w:tcPr>
            <w:tcW w:w="1843" w:type="dxa"/>
            <w:vAlign w:val="center"/>
          </w:tcPr>
          <w:p>
            <w:pPr>
              <w:spacing w:line="360" w:lineRule="exact"/>
              <w:jc w:val="both"/>
              <w:rPr>
                <w:rFonts w:ascii="新宋体" w:hAnsi="新宋体" w:eastAsia="文星仿宋"/>
                <w:b/>
                <w:color w:val="000000" w:themeColor="text1"/>
                <w:sz w:val="24"/>
                <w:szCs w:val="24"/>
              </w:rPr>
            </w:pPr>
            <w:r>
              <w:rPr>
                <w:rFonts w:hint="eastAsia" w:ascii="新宋体" w:hAnsi="新宋体" w:eastAsia="文星仿宋"/>
                <w:b/>
                <w:color w:val="000000" w:themeColor="text1"/>
                <w:sz w:val="24"/>
                <w:szCs w:val="24"/>
              </w:rPr>
              <w:t>相关部门单位</w:t>
            </w:r>
          </w:p>
        </w:tc>
        <w:tc>
          <w:tcPr>
            <w:tcW w:w="2069" w:type="dxa"/>
            <w:vAlign w:val="center"/>
          </w:tcPr>
          <w:p>
            <w:pPr>
              <w:spacing w:line="360" w:lineRule="exact"/>
              <w:jc w:val="both"/>
              <w:rPr>
                <w:rFonts w:ascii="新宋体" w:hAnsi="新宋体" w:eastAsia="文星仿宋"/>
                <w:b/>
                <w:color w:val="000000" w:themeColor="text1"/>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3631" w:hRule="atLeast"/>
          <w:jc w:val="center"/>
        </w:trPr>
        <w:tc>
          <w:tcPr>
            <w:tcW w:w="627" w:type="dxa"/>
            <w:vAlign w:val="center"/>
          </w:tcPr>
          <w:p>
            <w:pPr>
              <w:spacing w:line="32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18</w:t>
            </w:r>
          </w:p>
        </w:tc>
        <w:tc>
          <w:tcPr>
            <w:tcW w:w="1337" w:type="dxa"/>
            <w:vAlign w:val="center"/>
          </w:tcPr>
          <w:p>
            <w:pPr>
              <w:spacing w:line="320" w:lineRule="exact"/>
              <w:jc w:val="both"/>
              <w:rPr>
                <w:rFonts w:ascii="新宋体" w:hAnsi="新宋体" w:eastAsia="文星仿宋"/>
                <w:b/>
                <w:sz w:val="24"/>
                <w:szCs w:val="24"/>
              </w:rPr>
            </w:pPr>
            <w:r>
              <w:rPr>
                <w:rFonts w:hint="eastAsia" w:ascii="新宋体" w:hAnsi="新宋体" w:eastAsia="文星仿宋"/>
                <w:b/>
                <w:sz w:val="24"/>
                <w:szCs w:val="24"/>
              </w:rPr>
              <w:t>（1</w:t>
            </w:r>
            <w:r>
              <w:rPr>
                <w:rFonts w:hint="eastAsia" w:ascii="新宋体" w:hAnsi="新宋体" w:eastAsia="文星仿宋"/>
                <w:b/>
                <w:sz w:val="24"/>
                <w:szCs w:val="24"/>
                <w:lang w:val="en-US"/>
              </w:rPr>
              <w:t>0</w:t>
            </w:r>
            <w:r>
              <w:rPr>
                <w:rFonts w:hint="eastAsia" w:ascii="新宋体" w:hAnsi="新宋体" w:eastAsia="文星仿宋"/>
                <w:b/>
                <w:sz w:val="24"/>
                <w:szCs w:val="24"/>
              </w:rPr>
              <w:t>）加强创业创新知识产权保护。</w:t>
            </w:r>
          </w:p>
        </w:tc>
        <w:tc>
          <w:tcPr>
            <w:tcW w:w="6173" w:type="dxa"/>
            <w:vAlign w:val="center"/>
          </w:tcPr>
          <w:p>
            <w:pPr>
              <w:pStyle w:val="16"/>
              <w:spacing w:line="320" w:lineRule="exact"/>
              <w:jc w:val="both"/>
              <w:rPr>
                <w:rFonts w:ascii="新宋体" w:hAnsi="新宋体" w:eastAsia="文星仿宋"/>
                <w:b/>
                <w:sz w:val="24"/>
                <w:szCs w:val="24"/>
              </w:rPr>
            </w:pPr>
            <w:r>
              <w:rPr>
                <w:rFonts w:hint="eastAsia" w:ascii="新宋体" w:hAnsi="新宋体" w:eastAsia="文星仿宋"/>
                <w:b/>
                <w:sz w:val="24"/>
                <w:szCs w:val="24"/>
              </w:rPr>
              <w:t>提</w:t>
            </w:r>
            <w:r>
              <w:rPr>
                <w:rFonts w:hint="eastAsia" w:ascii="新宋体" w:hAnsi="新宋体" w:eastAsia="文星仿宋"/>
                <w:b/>
                <w:spacing w:val="-6"/>
                <w:sz w:val="24"/>
                <w:szCs w:val="24"/>
              </w:rPr>
              <w:t>高知识产权创造质量，调整资助和奖励政策，全面取消对商标、专利申请阶段的资助和奖励，科学设定高质量发展指标，推动知识产权工作从追求数量向提高质量转变。聚焦市场主体和创新主体需求，开展知识产权行政执法专项行动，依法惩治恶意侵权、群体侵权、重复侵权等行为，对群众反映强烈、社会舆论关注度高、侵权假冒多发的电商、展会、驰名商标、涉农地理标志等重点领域和区域，加大执法监管力度。加强知识产权服务业监管，持续开展“蓝天”专项行动。严厉打击商标恶意注册和非正常专利申请行为，依法推动将不以使用为目的的商标恶意注册和不以保护创新为目的的非正常专利申请行为纳入信用监管。</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w:t>
            </w:r>
            <w:r>
              <w:rPr>
                <w:rFonts w:hint="eastAsia" w:ascii="新宋体" w:hAnsi="新宋体" w:eastAsia="文星仿宋"/>
                <w:b/>
                <w:sz w:val="24"/>
                <w:szCs w:val="24"/>
              </w:rPr>
              <w:t>市场监管局</w:t>
            </w:r>
          </w:p>
        </w:tc>
        <w:tc>
          <w:tcPr>
            <w:tcW w:w="2069" w:type="dxa"/>
            <w:vAlign w:val="center"/>
          </w:tcPr>
          <w:p>
            <w:pPr>
              <w:spacing w:line="360" w:lineRule="exact"/>
              <w:jc w:val="both"/>
              <w:rPr>
                <w:rFonts w:ascii="新宋体" w:hAnsi="新宋体" w:eastAsia="文星仿宋"/>
                <w:b/>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466" w:hRule="atLeast"/>
          <w:jc w:val="center"/>
        </w:trPr>
        <w:tc>
          <w:tcPr>
            <w:tcW w:w="13608" w:type="dxa"/>
            <w:gridSpan w:val="6"/>
            <w:vAlign w:val="center"/>
          </w:tcPr>
          <w:p>
            <w:pPr>
              <w:spacing w:line="360" w:lineRule="exact"/>
              <w:jc w:val="both"/>
              <w:rPr>
                <w:rFonts w:ascii="新宋体" w:hAnsi="新宋体" w:eastAsia="黑体"/>
                <w:b/>
                <w:sz w:val="24"/>
                <w:szCs w:val="24"/>
              </w:rPr>
            </w:pPr>
            <w:r>
              <w:rPr>
                <w:rFonts w:hint="eastAsia" w:ascii="新宋体" w:hAnsi="新宋体" w:eastAsia="黑体"/>
                <w:b/>
                <w:sz w:val="24"/>
                <w:szCs w:val="24"/>
              </w:rPr>
              <w:t>四、优化财税政策，强化创业创新扶持。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126" w:hRule="atLeast"/>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19</w:t>
            </w:r>
          </w:p>
        </w:tc>
        <w:tc>
          <w:tcPr>
            <w:tcW w:w="1337" w:type="dxa"/>
            <w:vMerge w:val="restart"/>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rPr>
              <w:t>（1</w:t>
            </w:r>
            <w:r>
              <w:rPr>
                <w:rFonts w:hint="eastAsia" w:ascii="新宋体" w:hAnsi="新宋体" w:eastAsia="文星仿宋"/>
                <w:b/>
                <w:sz w:val="24"/>
                <w:szCs w:val="24"/>
                <w:lang w:val="en-US"/>
              </w:rPr>
              <w:t>1</w:t>
            </w:r>
            <w:r>
              <w:rPr>
                <w:rFonts w:hint="eastAsia" w:ascii="新宋体" w:hAnsi="新宋体" w:eastAsia="文星仿宋"/>
                <w:b/>
                <w:sz w:val="24"/>
                <w:szCs w:val="24"/>
              </w:rPr>
              <w:t>）强化资金和政策保障。</w:t>
            </w:r>
          </w:p>
        </w:tc>
        <w:tc>
          <w:tcPr>
            <w:tcW w:w="617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rPr>
              <w:t>根据创业创新需要，统筹安排财政资金，强化资金预算执行，组织协调预算绩效管理。</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w:t>
            </w:r>
            <w:r>
              <w:rPr>
                <w:rFonts w:hint="eastAsia" w:ascii="新宋体" w:hAnsi="新宋体" w:eastAsia="文星仿宋"/>
                <w:b/>
                <w:sz w:val="24"/>
                <w:szCs w:val="24"/>
              </w:rPr>
              <w:t>财政局</w:t>
            </w:r>
          </w:p>
        </w:tc>
        <w:tc>
          <w:tcPr>
            <w:tcW w:w="2069" w:type="dxa"/>
            <w:vAlign w:val="center"/>
          </w:tcPr>
          <w:p>
            <w:pPr>
              <w:spacing w:line="320" w:lineRule="exact"/>
              <w:jc w:val="both"/>
              <w:rPr>
                <w:rFonts w:ascii="新宋体" w:hAnsi="新宋体" w:eastAsia="文星仿宋"/>
                <w:b/>
                <w:sz w:val="24"/>
                <w:szCs w:val="24"/>
              </w:rPr>
            </w:pPr>
            <w:r>
              <w:rPr>
                <w:rFonts w:hint="eastAsia" w:ascii="新宋体" w:hAnsi="新宋体" w:eastAsia="文星仿宋"/>
                <w:b/>
                <w:sz w:val="24"/>
                <w:szCs w:val="24"/>
                <w:lang w:val="en-US"/>
              </w:rPr>
              <w:t>区发展改革局</w:t>
            </w:r>
            <w:r>
              <w:rPr>
                <w:rFonts w:hint="eastAsia" w:ascii="新宋体" w:hAnsi="新宋体" w:eastAsia="文星仿宋"/>
                <w:b/>
                <w:sz w:val="24"/>
                <w:szCs w:val="24"/>
              </w:rPr>
              <w:t>、</w:t>
            </w:r>
            <w:r>
              <w:rPr>
                <w:rFonts w:hint="eastAsia" w:ascii="新宋体" w:hAnsi="新宋体" w:eastAsia="文星仿宋"/>
                <w:b/>
                <w:sz w:val="24"/>
                <w:szCs w:val="24"/>
                <w:lang w:val="en-US"/>
              </w:rPr>
              <w:t>区工业和信息化局</w:t>
            </w:r>
            <w:r>
              <w:rPr>
                <w:rFonts w:hint="eastAsia" w:ascii="新宋体" w:hAnsi="新宋体" w:eastAsia="文星仿宋"/>
                <w:b/>
                <w:sz w:val="24"/>
                <w:szCs w:val="24"/>
              </w:rPr>
              <w:t>、</w:t>
            </w:r>
            <w:r>
              <w:rPr>
                <w:rFonts w:hint="eastAsia" w:ascii="新宋体" w:hAnsi="新宋体" w:eastAsia="文星仿宋"/>
                <w:b/>
                <w:sz w:val="24"/>
                <w:szCs w:val="24"/>
                <w:lang w:val="en-US"/>
              </w:rPr>
              <w:t>区人力资源社会保障局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20</w:t>
            </w:r>
          </w:p>
        </w:tc>
        <w:tc>
          <w:tcPr>
            <w:tcW w:w="1337" w:type="dxa"/>
            <w:vMerge w:val="continue"/>
            <w:vAlign w:val="center"/>
          </w:tcPr>
          <w:p>
            <w:pPr>
              <w:spacing w:line="360" w:lineRule="exact"/>
              <w:jc w:val="both"/>
              <w:rPr>
                <w:rFonts w:ascii="新宋体" w:hAnsi="新宋体" w:eastAsia="文星仿宋"/>
                <w:b/>
                <w:sz w:val="24"/>
                <w:szCs w:val="24"/>
              </w:rPr>
            </w:pPr>
          </w:p>
        </w:tc>
        <w:tc>
          <w:tcPr>
            <w:tcW w:w="6173" w:type="dxa"/>
            <w:vAlign w:val="center"/>
          </w:tcPr>
          <w:p>
            <w:pPr>
              <w:pStyle w:val="16"/>
              <w:spacing w:line="360" w:lineRule="exact"/>
              <w:jc w:val="both"/>
              <w:rPr>
                <w:rFonts w:ascii="新宋体" w:hAnsi="新宋体" w:eastAsia="文星仿宋"/>
                <w:b/>
                <w:sz w:val="24"/>
                <w:szCs w:val="24"/>
              </w:rPr>
            </w:pPr>
            <w:r>
              <w:rPr>
                <w:rFonts w:hint="eastAsia" w:ascii="新宋体" w:hAnsi="新宋体" w:eastAsia="文星仿宋"/>
                <w:b/>
                <w:sz w:val="24"/>
                <w:szCs w:val="24"/>
              </w:rPr>
              <w:t>扶持孵化器、众创空间等载体开展创业创新活动，扶持高校毕业生、退役军人和返乡农民工等优质创客广泛开展创业活动，在办公用房、用水、用能等方面适当给予支持，减轻创业创新负担。</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320" w:lineRule="exact"/>
              <w:jc w:val="both"/>
              <w:rPr>
                <w:rFonts w:ascii="新宋体" w:hAnsi="新宋体" w:eastAsia="文星仿宋"/>
                <w:b/>
                <w:sz w:val="24"/>
                <w:szCs w:val="24"/>
              </w:rPr>
            </w:pPr>
            <w:r>
              <w:rPr>
                <w:rFonts w:hint="eastAsia" w:ascii="新宋体" w:hAnsi="新宋体" w:eastAsia="文星仿宋"/>
                <w:b/>
                <w:sz w:val="24"/>
                <w:szCs w:val="24"/>
                <w:lang w:val="en-US"/>
              </w:rPr>
              <w:t>区发展改革局</w:t>
            </w:r>
            <w:r>
              <w:rPr>
                <w:rFonts w:hint="eastAsia" w:ascii="新宋体" w:hAnsi="新宋体" w:eastAsia="文星仿宋"/>
                <w:b/>
                <w:sz w:val="24"/>
                <w:szCs w:val="24"/>
              </w:rPr>
              <w:t>、</w:t>
            </w:r>
            <w:r>
              <w:rPr>
                <w:rFonts w:hint="eastAsia" w:ascii="新宋体" w:hAnsi="新宋体" w:eastAsia="文星仿宋"/>
                <w:b/>
                <w:sz w:val="24"/>
                <w:szCs w:val="24"/>
                <w:lang w:val="en-US"/>
              </w:rPr>
              <w:t>区工业和信息化局（区科技局）</w:t>
            </w:r>
            <w:r>
              <w:rPr>
                <w:rFonts w:hint="eastAsia" w:ascii="新宋体" w:hAnsi="新宋体" w:eastAsia="文星仿宋"/>
                <w:b/>
                <w:sz w:val="24"/>
                <w:szCs w:val="24"/>
              </w:rPr>
              <w:t>、</w:t>
            </w:r>
            <w:r>
              <w:rPr>
                <w:rFonts w:hint="eastAsia" w:ascii="新宋体" w:hAnsi="新宋体" w:eastAsia="文星仿宋"/>
                <w:b/>
                <w:sz w:val="24"/>
                <w:szCs w:val="24"/>
                <w:lang w:val="en-US"/>
              </w:rPr>
              <w:t>区人力资源社会保障局</w:t>
            </w:r>
          </w:p>
        </w:tc>
        <w:tc>
          <w:tcPr>
            <w:tcW w:w="2069" w:type="dxa"/>
            <w:vAlign w:val="center"/>
          </w:tcPr>
          <w:p>
            <w:pPr>
              <w:spacing w:line="360" w:lineRule="exact"/>
              <w:jc w:val="both"/>
              <w:rPr>
                <w:rFonts w:ascii="新宋体" w:hAnsi="新宋体" w:eastAsia="文星仿宋"/>
                <w:b/>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603" w:hRule="atLeast"/>
          <w:jc w:val="center"/>
        </w:trPr>
        <w:tc>
          <w:tcPr>
            <w:tcW w:w="627" w:type="dxa"/>
            <w:vAlign w:val="center"/>
          </w:tcPr>
          <w:p>
            <w:pPr>
              <w:spacing w:line="38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21</w:t>
            </w:r>
          </w:p>
        </w:tc>
        <w:tc>
          <w:tcPr>
            <w:tcW w:w="1337" w:type="dxa"/>
            <w:vAlign w:val="center"/>
          </w:tcPr>
          <w:p>
            <w:pPr>
              <w:spacing w:line="380" w:lineRule="exact"/>
              <w:jc w:val="both"/>
              <w:rPr>
                <w:rFonts w:ascii="新宋体" w:hAnsi="新宋体" w:eastAsia="文星仿宋"/>
                <w:b/>
                <w:sz w:val="24"/>
                <w:szCs w:val="24"/>
              </w:rPr>
            </w:pPr>
            <w:r>
              <w:rPr>
                <w:rFonts w:hint="eastAsia" w:ascii="新宋体" w:hAnsi="新宋体" w:eastAsia="文星仿宋"/>
                <w:b/>
                <w:sz w:val="24"/>
                <w:szCs w:val="24"/>
              </w:rPr>
              <w:t>（1</w:t>
            </w:r>
            <w:r>
              <w:rPr>
                <w:rFonts w:hint="eastAsia" w:ascii="新宋体" w:hAnsi="新宋体" w:eastAsia="文星仿宋"/>
                <w:b/>
                <w:sz w:val="24"/>
                <w:szCs w:val="24"/>
                <w:lang w:val="en-US"/>
              </w:rPr>
              <w:t>2</w:t>
            </w:r>
            <w:r>
              <w:rPr>
                <w:rFonts w:hint="eastAsia" w:ascii="新宋体" w:hAnsi="新宋体" w:eastAsia="文星仿宋"/>
                <w:b/>
                <w:sz w:val="24"/>
                <w:szCs w:val="24"/>
              </w:rPr>
              <w:t>）落实普惠性税收措施。</w:t>
            </w:r>
          </w:p>
        </w:tc>
        <w:tc>
          <w:tcPr>
            <w:tcW w:w="6173" w:type="dxa"/>
            <w:vAlign w:val="center"/>
          </w:tcPr>
          <w:p>
            <w:pPr>
              <w:pStyle w:val="16"/>
              <w:spacing w:line="380" w:lineRule="exact"/>
              <w:jc w:val="both"/>
              <w:rPr>
                <w:rFonts w:ascii="新宋体" w:hAnsi="新宋体" w:eastAsia="文星仿宋"/>
                <w:b/>
                <w:sz w:val="24"/>
                <w:szCs w:val="24"/>
              </w:rPr>
            </w:pPr>
            <w:r>
              <w:rPr>
                <w:rFonts w:hint="eastAsia" w:ascii="新宋体" w:hAnsi="新宋体" w:eastAsia="文星仿宋"/>
                <w:b/>
                <w:sz w:val="24"/>
                <w:szCs w:val="24"/>
              </w:rPr>
              <w:t>落实扶持小微企业发展的各项税收优惠政策，落实科技企业孵化器、研发费用加计扣除、固定资产加速折旧等税收优惠政策，落实促进高校毕业生、残疾人、退役军人、登记失业人员等创业就业税收政策。</w:t>
            </w:r>
          </w:p>
        </w:tc>
        <w:tc>
          <w:tcPr>
            <w:tcW w:w="1559" w:type="dxa"/>
            <w:vAlign w:val="center"/>
          </w:tcPr>
          <w:p>
            <w:pPr>
              <w:spacing w:line="38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380" w:lineRule="exact"/>
              <w:jc w:val="both"/>
              <w:rPr>
                <w:rFonts w:ascii="新宋体" w:hAnsi="新宋体" w:eastAsia="文星仿宋"/>
                <w:b/>
                <w:sz w:val="24"/>
                <w:szCs w:val="24"/>
              </w:rPr>
            </w:pPr>
            <w:r>
              <w:rPr>
                <w:rFonts w:hint="eastAsia" w:ascii="新宋体" w:hAnsi="新宋体" w:eastAsia="文星仿宋"/>
                <w:b/>
                <w:sz w:val="24"/>
                <w:szCs w:val="24"/>
                <w:lang w:val="en-US"/>
              </w:rPr>
              <w:t>区</w:t>
            </w:r>
            <w:r>
              <w:rPr>
                <w:rFonts w:hint="eastAsia" w:ascii="新宋体" w:hAnsi="新宋体" w:eastAsia="文星仿宋"/>
                <w:b/>
                <w:sz w:val="24"/>
                <w:szCs w:val="24"/>
              </w:rPr>
              <w:t>税务局</w:t>
            </w:r>
          </w:p>
        </w:tc>
        <w:tc>
          <w:tcPr>
            <w:tcW w:w="2069" w:type="dxa"/>
            <w:vAlign w:val="center"/>
          </w:tcPr>
          <w:p>
            <w:pPr>
              <w:spacing w:line="380" w:lineRule="exact"/>
              <w:jc w:val="both"/>
              <w:rPr>
                <w:rFonts w:ascii="新宋体" w:hAnsi="新宋体" w:eastAsia="文星仿宋"/>
                <w:b/>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980" w:hRule="atLeast"/>
          <w:jc w:val="center"/>
        </w:trPr>
        <w:tc>
          <w:tcPr>
            <w:tcW w:w="627" w:type="dxa"/>
            <w:vAlign w:val="center"/>
          </w:tcPr>
          <w:p>
            <w:pPr>
              <w:spacing w:line="38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22</w:t>
            </w:r>
          </w:p>
        </w:tc>
        <w:tc>
          <w:tcPr>
            <w:tcW w:w="1337" w:type="dxa"/>
            <w:vAlign w:val="center"/>
          </w:tcPr>
          <w:p>
            <w:pPr>
              <w:spacing w:line="380" w:lineRule="exact"/>
              <w:jc w:val="both"/>
              <w:rPr>
                <w:rFonts w:ascii="新宋体" w:hAnsi="新宋体" w:eastAsia="文星仿宋"/>
                <w:b/>
                <w:sz w:val="24"/>
                <w:szCs w:val="24"/>
              </w:rPr>
            </w:pPr>
            <w:r>
              <w:rPr>
                <w:rFonts w:hint="eastAsia" w:ascii="新宋体" w:hAnsi="新宋体" w:eastAsia="文星仿宋"/>
                <w:b/>
                <w:sz w:val="24"/>
                <w:szCs w:val="24"/>
              </w:rPr>
              <w:t>（1</w:t>
            </w:r>
            <w:r>
              <w:rPr>
                <w:rFonts w:hint="eastAsia" w:ascii="新宋体" w:hAnsi="新宋体" w:eastAsia="文星仿宋"/>
                <w:b/>
                <w:sz w:val="24"/>
                <w:szCs w:val="24"/>
                <w:lang w:val="en-US"/>
              </w:rPr>
              <w:t>3</w:t>
            </w:r>
            <w:r>
              <w:rPr>
                <w:rFonts w:hint="eastAsia" w:ascii="新宋体" w:hAnsi="新宋体" w:eastAsia="文星仿宋"/>
                <w:b/>
                <w:sz w:val="24"/>
                <w:szCs w:val="24"/>
              </w:rPr>
              <w:t>）发挥政府采购支持作用。</w:t>
            </w:r>
          </w:p>
        </w:tc>
        <w:tc>
          <w:tcPr>
            <w:tcW w:w="6173" w:type="dxa"/>
            <w:vAlign w:val="center"/>
          </w:tcPr>
          <w:p>
            <w:pPr>
              <w:pStyle w:val="16"/>
              <w:spacing w:line="380" w:lineRule="exact"/>
              <w:jc w:val="both"/>
              <w:rPr>
                <w:rFonts w:ascii="新宋体" w:hAnsi="新宋体" w:eastAsia="文星仿宋"/>
                <w:b/>
                <w:sz w:val="24"/>
                <w:szCs w:val="24"/>
              </w:rPr>
            </w:pPr>
            <w:r>
              <w:rPr>
                <w:rFonts w:hint="eastAsia" w:ascii="新宋体" w:hAnsi="新宋体" w:eastAsia="文星仿宋"/>
                <w:b/>
                <w:sz w:val="24"/>
                <w:szCs w:val="24"/>
              </w:rPr>
              <w:t>完善促进中小企业发展的政府采购政策，加强对采购单位的政策指导和监督检查，督促采购单位改进采购计划编制和项目预留管理，增强政策对小微企业发展的支持效果。加大对创新产品和服务的采购力度，把政府采购与支持创业发展紧密结合起来。</w:t>
            </w:r>
          </w:p>
        </w:tc>
        <w:tc>
          <w:tcPr>
            <w:tcW w:w="1559" w:type="dxa"/>
            <w:vAlign w:val="center"/>
          </w:tcPr>
          <w:p>
            <w:pPr>
              <w:spacing w:line="38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380" w:lineRule="exact"/>
              <w:jc w:val="both"/>
              <w:rPr>
                <w:rFonts w:ascii="新宋体" w:hAnsi="新宋体" w:eastAsia="文星仿宋"/>
                <w:b/>
                <w:sz w:val="24"/>
                <w:szCs w:val="24"/>
              </w:rPr>
            </w:pPr>
            <w:r>
              <w:rPr>
                <w:rFonts w:hint="eastAsia" w:ascii="新宋体" w:hAnsi="新宋体" w:eastAsia="文星仿宋"/>
                <w:b/>
                <w:sz w:val="24"/>
                <w:szCs w:val="24"/>
                <w:lang w:val="en-US"/>
              </w:rPr>
              <w:t>区</w:t>
            </w:r>
            <w:r>
              <w:rPr>
                <w:rFonts w:hint="eastAsia" w:ascii="新宋体" w:hAnsi="新宋体" w:eastAsia="文星仿宋"/>
                <w:b/>
                <w:sz w:val="24"/>
                <w:szCs w:val="24"/>
              </w:rPr>
              <w:t>财政局</w:t>
            </w:r>
          </w:p>
        </w:tc>
        <w:tc>
          <w:tcPr>
            <w:tcW w:w="2069" w:type="dxa"/>
            <w:vAlign w:val="center"/>
          </w:tcPr>
          <w:p>
            <w:pPr>
              <w:spacing w:line="380" w:lineRule="exact"/>
              <w:jc w:val="both"/>
              <w:rPr>
                <w:rFonts w:ascii="新宋体" w:hAnsi="新宋体" w:eastAsia="文星仿宋"/>
                <w:b/>
                <w:sz w:val="24"/>
                <w:szCs w:val="24"/>
              </w:rPr>
            </w:pPr>
            <w:r>
              <w:rPr>
                <w:rFonts w:hint="eastAsia" w:ascii="新宋体" w:hAnsi="新宋体" w:eastAsia="文星仿宋"/>
                <w:b/>
                <w:sz w:val="24"/>
                <w:szCs w:val="24"/>
              </w:rPr>
              <w:t>各相关部门单位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48" w:hRule="atLeast"/>
          <w:jc w:val="center"/>
        </w:trPr>
        <w:tc>
          <w:tcPr>
            <w:tcW w:w="13608" w:type="dxa"/>
            <w:gridSpan w:val="6"/>
            <w:vAlign w:val="center"/>
          </w:tcPr>
          <w:p>
            <w:pPr>
              <w:tabs>
                <w:tab w:val="left" w:pos="956"/>
              </w:tabs>
              <w:spacing w:line="380" w:lineRule="exact"/>
              <w:jc w:val="both"/>
              <w:rPr>
                <w:rFonts w:ascii="新宋体" w:hAnsi="新宋体" w:eastAsia="黑体"/>
                <w:b/>
                <w:sz w:val="24"/>
                <w:szCs w:val="24"/>
              </w:rPr>
            </w:pPr>
            <w:r>
              <w:rPr>
                <w:rFonts w:hint="eastAsia" w:ascii="新宋体" w:hAnsi="新宋体" w:eastAsia="黑体"/>
                <w:b/>
                <w:sz w:val="24"/>
                <w:szCs w:val="24"/>
              </w:rPr>
              <w:t>五、搞活金融市场，实现便捷融资。</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627" w:type="dxa"/>
            <w:vAlign w:val="center"/>
          </w:tcPr>
          <w:p>
            <w:pPr>
              <w:spacing w:line="38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23</w:t>
            </w:r>
          </w:p>
        </w:tc>
        <w:tc>
          <w:tcPr>
            <w:tcW w:w="1337" w:type="dxa"/>
            <w:vMerge w:val="restart"/>
            <w:vAlign w:val="center"/>
          </w:tcPr>
          <w:p>
            <w:pPr>
              <w:spacing w:line="380" w:lineRule="exact"/>
              <w:jc w:val="both"/>
              <w:rPr>
                <w:rFonts w:ascii="新宋体" w:hAnsi="新宋体" w:eastAsia="文星仿宋"/>
                <w:b/>
                <w:sz w:val="24"/>
                <w:szCs w:val="24"/>
              </w:rPr>
            </w:pPr>
            <w:r>
              <w:rPr>
                <w:rFonts w:hint="eastAsia" w:ascii="新宋体" w:hAnsi="新宋体" w:eastAsia="文星仿宋"/>
                <w:b/>
                <w:sz w:val="24"/>
                <w:szCs w:val="24"/>
              </w:rPr>
              <w:t>（1</w:t>
            </w:r>
            <w:r>
              <w:rPr>
                <w:rFonts w:hint="eastAsia" w:ascii="新宋体" w:hAnsi="新宋体" w:eastAsia="文星仿宋"/>
                <w:b/>
                <w:sz w:val="24"/>
                <w:szCs w:val="24"/>
                <w:lang w:val="en-US"/>
              </w:rPr>
              <w:t>4</w:t>
            </w:r>
            <w:r>
              <w:rPr>
                <w:rFonts w:hint="eastAsia" w:ascii="新宋体" w:hAnsi="新宋体" w:eastAsia="文星仿宋"/>
                <w:b/>
                <w:sz w:val="24"/>
                <w:szCs w:val="24"/>
              </w:rPr>
              <w:t>）创新科创金融服务模式。</w:t>
            </w:r>
          </w:p>
        </w:tc>
        <w:tc>
          <w:tcPr>
            <w:tcW w:w="6173" w:type="dxa"/>
            <w:vAlign w:val="center"/>
          </w:tcPr>
          <w:p>
            <w:pPr>
              <w:pStyle w:val="16"/>
              <w:spacing w:line="380" w:lineRule="exact"/>
              <w:jc w:val="both"/>
              <w:rPr>
                <w:rFonts w:ascii="新宋体" w:hAnsi="新宋体" w:eastAsia="文星仿宋"/>
                <w:b/>
                <w:sz w:val="24"/>
                <w:szCs w:val="24"/>
              </w:rPr>
            </w:pPr>
            <w:r>
              <w:rPr>
                <w:rFonts w:hint="eastAsia" w:ascii="新宋体" w:hAnsi="新宋体" w:eastAsia="文星仿宋"/>
                <w:b/>
                <w:sz w:val="24"/>
                <w:szCs w:val="24"/>
              </w:rPr>
              <w:t>优化金融辅导和管家服务，及时将有意愿的科创企业纳入金融辅导，在符合条件的科技园区、创业创新共同体等开展“金融管家”试点，整合银行、证券、保险、地方金融组织等资源，进一步优化金融辅导体系，将有意向接受辅导的科创企业全部纳入金融辅导体系，每年辅导企业扩容增速达到</w:t>
            </w:r>
            <w:r>
              <w:rPr>
                <w:rFonts w:hint="eastAsia" w:ascii="新宋体" w:hAnsi="新宋体" w:eastAsia="文星仿宋"/>
                <w:b/>
                <w:sz w:val="24"/>
                <w:szCs w:val="24"/>
                <w:lang w:val="en-US"/>
              </w:rPr>
              <w:t>20%</w:t>
            </w:r>
            <w:r>
              <w:rPr>
                <w:rFonts w:hint="eastAsia" w:ascii="新宋体" w:hAnsi="新宋体" w:eastAsia="文星仿宋"/>
                <w:b/>
                <w:sz w:val="24"/>
                <w:szCs w:val="24"/>
              </w:rPr>
              <w:t>以上，合理化融资需求满足率达到100</w:t>
            </w:r>
            <w:r>
              <w:rPr>
                <w:rFonts w:hint="eastAsia" w:ascii="新宋体" w:hAnsi="新宋体" w:eastAsia="文星仿宋"/>
                <w:b/>
                <w:sz w:val="24"/>
                <w:szCs w:val="24"/>
                <w:lang w:val="en-US"/>
              </w:rPr>
              <w:t>%</w:t>
            </w:r>
            <w:r>
              <w:rPr>
                <w:rFonts w:hint="eastAsia" w:ascii="新宋体" w:hAnsi="新宋体" w:eastAsia="文星仿宋"/>
                <w:b/>
                <w:sz w:val="24"/>
                <w:szCs w:val="24"/>
              </w:rPr>
              <w:t>。</w:t>
            </w:r>
          </w:p>
        </w:tc>
        <w:tc>
          <w:tcPr>
            <w:tcW w:w="1559" w:type="dxa"/>
            <w:vAlign w:val="center"/>
          </w:tcPr>
          <w:p>
            <w:pPr>
              <w:spacing w:line="380" w:lineRule="exact"/>
              <w:jc w:val="center"/>
              <w:rPr>
                <w:rFonts w:ascii="新宋体" w:hAnsi="新宋体" w:eastAsia="文星仿宋"/>
                <w:b/>
                <w:sz w:val="24"/>
                <w:szCs w:val="24"/>
              </w:rPr>
            </w:pPr>
            <w:r>
              <w:rPr>
                <w:rFonts w:hint="eastAsia" w:ascii="新宋体" w:hAnsi="新宋体" w:eastAsia="文星仿宋"/>
                <w:b/>
                <w:sz w:val="24"/>
                <w:szCs w:val="24"/>
              </w:rPr>
              <w:t>2023年年底</w:t>
            </w:r>
          </w:p>
        </w:tc>
        <w:tc>
          <w:tcPr>
            <w:tcW w:w="1843" w:type="dxa"/>
            <w:vAlign w:val="center"/>
          </w:tcPr>
          <w:p>
            <w:pPr>
              <w:spacing w:line="380" w:lineRule="exact"/>
              <w:jc w:val="both"/>
              <w:rPr>
                <w:rFonts w:ascii="新宋体" w:hAnsi="新宋体" w:eastAsia="文星仿宋"/>
                <w:b/>
                <w:color w:val="000000" w:themeColor="text1"/>
                <w:sz w:val="24"/>
                <w:szCs w:val="24"/>
                <w:lang w:val="en-US"/>
              </w:rPr>
            </w:pPr>
            <w:r>
              <w:rPr>
                <w:rFonts w:hint="eastAsia" w:ascii="新宋体" w:hAnsi="新宋体" w:eastAsia="文星仿宋"/>
                <w:b/>
                <w:color w:val="000000" w:themeColor="text1"/>
                <w:sz w:val="24"/>
                <w:szCs w:val="24"/>
                <w:lang w:val="en-US"/>
              </w:rPr>
              <w:t>区</w:t>
            </w:r>
            <w:r>
              <w:rPr>
                <w:rFonts w:hint="eastAsia" w:ascii="新宋体" w:hAnsi="新宋体" w:eastAsia="文星仿宋"/>
                <w:b/>
                <w:color w:val="000000" w:themeColor="text1"/>
                <w:sz w:val="24"/>
                <w:szCs w:val="24"/>
              </w:rPr>
              <w:t>金融</w:t>
            </w:r>
            <w:r>
              <w:rPr>
                <w:rFonts w:hint="eastAsia" w:ascii="新宋体" w:hAnsi="新宋体" w:eastAsia="文星仿宋"/>
                <w:b/>
                <w:color w:val="000000" w:themeColor="text1"/>
                <w:sz w:val="24"/>
                <w:szCs w:val="24"/>
                <w:lang w:val="en-US"/>
              </w:rPr>
              <w:t xml:space="preserve">发展服务中心 </w:t>
            </w:r>
          </w:p>
        </w:tc>
        <w:tc>
          <w:tcPr>
            <w:tcW w:w="2069" w:type="dxa"/>
            <w:vAlign w:val="center"/>
          </w:tcPr>
          <w:p>
            <w:pPr>
              <w:pStyle w:val="16"/>
              <w:spacing w:line="380" w:lineRule="exact"/>
              <w:jc w:val="both"/>
              <w:rPr>
                <w:rFonts w:ascii="新宋体" w:hAnsi="新宋体" w:eastAsia="文星仿宋"/>
                <w:b/>
                <w:color w:val="000000" w:themeColor="text1"/>
                <w:kern w:val="2"/>
                <w:sz w:val="24"/>
                <w:szCs w:val="24"/>
              </w:rPr>
            </w:pPr>
            <w:r>
              <w:rPr>
                <w:rFonts w:hint="eastAsia" w:ascii="新宋体" w:hAnsi="新宋体" w:eastAsia="文星仿宋"/>
                <w:b/>
                <w:color w:val="000000" w:themeColor="text1"/>
                <w:sz w:val="24"/>
                <w:szCs w:val="24"/>
                <w:lang w:val="en-US"/>
              </w:rPr>
              <w:t>区发展改革局（区地方金融监管局）、区财政局、区</w:t>
            </w:r>
            <w:r>
              <w:rPr>
                <w:rFonts w:hint="eastAsia" w:ascii="新宋体" w:hAnsi="新宋体" w:eastAsia="文星仿宋"/>
                <w:b/>
                <w:color w:val="000000" w:themeColor="text1"/>
                <w:sz w:val="24"/>
                <w:szCs w:val="24"/>
              </w:rPr>
              <w:t>市场监管局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627" w:type="dxa"/>
            <w:vAlign w:val="center"/>
          </w:tcPr>
          <w:p>
            <w:pPr>
              <w:spacing w:line="38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24</w:t>
            </w:r>
          </w:p>
        </w:tc>
        <w:tc>
          <w:tcPr>
            <w:tcW w:w="1337" w:type="dxa"/>
            <w:vMerge w:val="continue"/>
            <w:vAlign w:val="center"/>
          </w:tcPr>
          <w:p>
            <w:pPr>
              <w:spacing w:line="380" w:lineRule="exact"/>
              <w:jc w:val="both"/>
              <w:rPr>
                <w:rFonts w:ascii="新宋体" w:hAnsi="新宋体" w:eastAsia="文星仿宋"/>
                <w:b/>
                <w:sz w:val="24"/>
                <w:szCs w:val="24"/>
              </w:rPr>
            </w:pPr>
          </w:p>
        </w:tc>
        <w:tc>
          <w:tcPr>
            <w:tcW w:w="6173" w:type="dxa"/>
            <w:vAlign w:val="center"/>
          </w:tcPr>
          <w:p>
            <w:pPr>
              <w:spacing w:line="380" w:lineRule="exact"/>
              <w:jc w:val="both"/>
              <w:rPr>
                <w:rFonts w:ascii="新宋体" w:hAnsi="新宋体" w:eastAsia="文星仿宋"/>
                <w:b/>
                <w:sz w:val="24"/>
                <w:szCs w:val="24"/>
              </w:rPr>
            </w:pPr>
            <w:r>
              <w:rPr>
                <w:rFonts w:hint="eastAsia" w:ascii="新宋体" w:hAnsi="新宋体" w:eastAsia="文星仿宋"/>
                <w:b/>
                <w:sz w:val="24"/>
                <w:szCs w:val="24"/>
              </w:rPr>
              <w:t>鼓励金融机构将人力资本作为融资授信依据，创新开发“人才贷”等专属信贷产品，建立风险补偿机制，实现人才赋能。</w:t>
            </w:r>
          </w:p>
        </w:tc>
        <w:tc>
          <w:tcPr>
            <w:tcW w:w="1559" w:type="dxa"/>
            <w:vAlign w:val="center"/>
          </w:tcPr>
          <w:p>
            <w:pPr>
              <w:spacing w:line="380" w:lineRule="exact"/>
              <w:jc w:val="center"/>
              <w:rPr>
                <w:rFonts w:ascii="新宋体" w:hAnsi="新宋体" w:eastAsia="文星仿宋"/>
                <w:b/>
                <w:sz w:val="24"/>
                <w:szCs w:val="24"/>
              </w:rPr>
            </w:pPr>
            <w:r>
              <w:rPr>
                <w:rFonts w:hint="eastAsia" w:ascii="新宋体" w:hAnsi="新宋体" w:eastAsia="文星仿宋"/>
                <w:b/>
                <w:sz w:val="24"/>
                <w:szCs w:val="24"/>
              </w:rPr>
              <w:t>2024年年底</w:t>
            </w:r>
          </w:p>
        </w:tc>
        <w:tc>
          <w:tcPr>
            <w:tcW w:w="1843" w:type="dxa"/>
            <w:vAlign w:val="center"/>
          </w:tcPr>
          <w:p>
            <w:pPr>
              <w:spacing w:line="380" w:lineRule="exact"/>
              <w:jc w:val="both"/>
              <w:rPr>
                <w:rFonts w:ascii="新宋体" w:hAnsi="新宋体" w:eastAsia="文星仿宋"/>
                <w:b/>
                <w:color w:val="000000" w:themeColor="text1"/>
                <w:sz w:val="24"/>
                <w:szCs w:val="24"/>
              </w:rPr>
            </w:pPr>
            <w:r>
              <w:rPr>
                <w:rFonts w:hint="eastAsia" w:ascii="新宋体" w:hAnsi="新宋体" w:eastAsia="文星仿宋"/>
                <w:b/>
                <w:color w:val="000000" w:themeColor="text1"/>
                <w:sz w:val="24"/>
                <w:szCs w:val="24"/>
                <w:lang w:val="en-US"/>
              </w:rPr>
              <w:t>区金融发展服务中心</w:t>
            </w:r>
          </w:p>
        </w:tc>
        <w:tc>
          <w:tcPr>
            <w:tcW w:w="2069" w:type="dxa"/>
            <w:vAlign w:val="center"/>
          </w:tcPr>
          <w:p>
            <w:pPr>
              <w:spacing w:line="380" w:lineRule="exact"/>
              <w:jc w:val="both"/>
              <w:rPr>
                <w:rFonts w:ascii="新宋体" w:hAnsi="新宋体" w:eastAsia="文星仿宋"/>
                <w:b/>
                <w:color w:val="000000" w:themeColor="text1"/>
                <w:sz w:val="24"/>
                <w:szCs w:val="24"/>
              </w:rPr>
            </w:pPr>
            <w:r>
              <w:rPr>
                <w:rFonts w:hint="eastAsia" w:ascii="新宋体" w:hAnsi="新宋体" w:eastAsia="文星仿宋"/>
                <w:b/>
                <w:color w:val="000000" w:themeColor="text1"/>
                <w:sz w:val="24"/>
                <w:szCs w:val="24"/>
                <w:lang w:val="en-US"/>
              </w:rPr>
              <w:t>区发展改革局（区地方金融监管局）、区财政局、区</w:t>
            </w:r>
            <w:r>
              <w:rPr>
                <w:rFonts w:hint="eastAsia" w:ascii="新宋体" w:hAnsi="新宋体" w:eastAsia="文星仿宋"/>
                <w:b/>
                <w:color w:val="000000" w:themeColor="text1"/>
                <w:sz w:val="24"/>
                <w:szCs w:val="24"/>
              </w:rPr>
              <w:t>市场监管局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334" w:hRule="atLeast"/>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25</w:t>
            </w:r>
          </w:p>
        </w:tc>
        <w:tc>
          <w:tcPr>
            <w:tcW w:w="1337" w:type="dxa"/>
            <w:vMerge w:val="restart"/>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rPr>
              <w:t>（1</w:t>
            </w:r>
            <w:r>
              <w:rPr>
                <w:rFonts w:hint="eastAsia" w:ascii="新宋体" w:hAnsi="新宋体" w:eastAsia="文星仿宋"/>
                <w:b/>
                <w:sz w:val="24"/>
                <w:szCs w:val="24"/>
                <w:lang w:val="en-US"/>
              </w:rPr>
              <w:t>5</w:t>
            </w:r>
            <w:r>
              <w:rPr>
                <w:rFonts w:hint="eastAsia" w:ascii="新宋体" w:hAnsi="新宋体" w:eastAsia="文星仿宋"/>
                <w:b/>
                <w:sz w:val="24"/>
                <w:szCs w:val="24"/>
              </w:rPr>
              <w:t>）拓宽科创企业融资渠道。</w:t>
            </w:r>
          </w:p>
        </w:tc>
        <w:tc>
          <w:tcPr>
            <w:tcW w:w="617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rPr>
              <w:t>实</w:t>
            </w:r>
            <w:r>
              <w:rPr>
                <w:rFonts w:hint="eastAsia" w:ascii="新宋体" w:hAnsi="新宋体" w:eastAsia="文星仿宋"/>
                <w:b/>
                <w:spacing w:val="-6"/>
                <w:sz w:val="24"/>
                <w:szCs w:val="24"/>
              </w:rPr>
              <w:t>施企业上市“倍增计划”，深入推进科创企业上市挂牌后备资源培育。以北交所开市为契机，研究探索对“专精特新”企业提供支持，引导其在北交所上市、新三板挂牌。</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rPr>
              <w:t>2026年年底</w:t>
            </w:r>
          </w:p>
        </w:tc>
        <w:tc>
          <w:tcPr>
            <w:tcW w:w="184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区金融发展服务中心</w:t>
            </w:r>
          </w:p>
        </w:tc>
        <w:tc>
          <w:tcPr>
            <w:tcW w:w="2069"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区工业和信息化局（区科技局）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550" w:hRule="atLeast"/>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26</w:t>
            </w:r>
          </w:p>
        </w:tc>
        <w:tc>
          <w:tcPr>
            <w:tcW w:w="1337" w:type="dxa"/>
            <w:vMerge w:val="continue"/>
            <w:vAlign w:val="center"/>
          </w:tcPr>
          <w:p>
            <w:pPr>
              <w:spacing w:line="360" w:lineRule="exact"/>
              <w:jc w:val="both"/>
              <w:rPr>
                <w:rFonts w:ascii="新宋体" w:hAnsi="新宋体" w:eastAsia="文星仿宋"/>
                <w:b/>
                <w:sz w:val="24"/>
                <w:szCs w:val="24"/>
              </w:rPr>
            </w:pPr>
          </w:p>
        </w:tc>
        <w:tc>
          <w:tcPr>
            <w:tcW w:w="6173" w:type="dxa"/>
            <w:vAlign w:val="center"/>
          </w:tcPr>
          <w:p>
            <w:pPr>
              <w:pStyle w:val="16"/>
              <w:spacing w:line="360" w:lineRule="exact"/>
              <w:jc w:val="both"/>
              <w:rPr>
                <w:rFonts w:ascii="新宋体" w:hAnsi="新宋体" w:eastAsia="文星仿宋"/>
                <w:b/>
                <w:sz w:val="24"/>
                <w:szCs w:val="24"/>
              </w:rPr>
            </w:pPr>
            <w:r>
              <w:rPr>
                <w:rFonts w:hint="eastAsia" w:ascii="新宋体" w:hAnsi="新宋体" w:eastAsia="文星仿宋"/>
                <w:b/>
                <w:sz w:val="24"/>
                <w:szCs w:val="24"/>
              </w:rPr>
              <w:t>定期组织专业机构为上市后备企业提供服务活动，帮助对接优质投融资资源。鼓励符合条件的企业多渠道发行双创孵化专项债券、创新创业公司债券、双创专项债务融资工具等。</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rPr>
              <w:t>2026年年底</w:t>
            </w:r>
          </w:p>
        </w:tc>
        <w:tc>
          <w:tcPr>
            <w:tcW w:w="1843" w:type="dxa"/>
            <w:vAlign w:val="center"/>
          </w:tcPr>
          <w:p>
            <w:pPr>
              <w:spacing w:line="360" w:lineRule="exact"/>
              <w:jc w:val="both"/>
              <w:rPr>
                <w:rFonts w:ascii="新宋体" w:hAnsi="新宋体" w:eastAsia="文星仿宋"/>
                <w:b/>
                <w:sz w:val="24"/>
                <w:szCs w:val="24"/>
                <w:lang w:val="en-US"/>
              </w:rPr>
            </w:pPr>
            <w:r>
              <w:rPr>
                <w:rFonts w:hint="eastAsia" w:ascii="新宋体" w:hAnsi="新宋体" w:eastAsia="文星仿宋"/>
                <w:b/>
                <w:sz w:val="24"/>
                <w:szCs w:val="24"/>
                <w:lang w:val="en-US"/>
              </w:rPr>
              <w:t>区金融发展服务中心</w:t>
            </w:r>
          </w:p>
        </w:tc>
        <w:tc>
          <w:tcPr>
            <w:tcW w:w="2069"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区发展改革局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38" w:hRule="atLeast"/>
          <w:jc w:val="center"/>
        </w:trPr>
        <w:tc>
          <w:tcPr>
            <w:tcW w:w="13608" w:type="dxa"/>
            <w:gridSpan w:val="6"/>
            <w:vAlign w:val="center"/>
          </w:tcPr>
          <w:p>
            <w:pPr>
              <w:spacing w:line="360" w:lineRule="exact"/>
              <w:jc w:val="both"/>
              <w:rPr>
                <w:rFonts w:ascii="新宋体" w:hAnsi="新宋体" w:eastAsia="黑体"/>
                <w:b/>
                <w:sz w:val="24"/>
                <w:szCs w:val="24"/>
              </w:rPr>
            </w:pPr>
            <w:r>
              <w:rPr>
                <w:rFonts w:hint="eastAsia" w:ascii="新宋体" w:hAnsi="新宋体" w:eastAsia="黑体"/>
                <w:b/>
                <w:sz w:val="24"/>
                <w:szCs w:val="24"/>
              </w:rPr>
              <w:t>六、加大人才引育力度，激发创业创新活力。</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680" w:hRule="atLeast"/>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27</w:t>
            </w:r>
          </w:p>
        </w:tc>
        <w:tc>
          <w:tcPr>
            <w:tcW w:w="1337" w:type="dxa"/>
            <w:vMerge w:val="restart"/>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rPr>
              <w:t>（</w:t>
            </w:r>
            <w:r>
              <w:rPr>
                <w:rFonts w:hint="eastAsia" w:ascii="新宋体" w:hAnsi="新宋体" w:eastAsia="文星仿宋"/>
                <w:b/>
                <w:sz w:val="24"/>
                <w:szCs w:val="24"/>
                <w:lang w:val="en-US"/>
              </w:rPr>
              <w:t>16</w:t>
            </w:r>
            <w:r>
              <w:rPr>
                <w:rFonts w:hint="eastAsia" w:ascii="新宋体" w:hAnsi="新宋体" w:eastAsia="文星仿宋"/>
                <w:b/>
                <w:sz w:val="24"/>
                <w:szCs w:val="24"/>
              </w:rPr>
              <w:t>）</w:t>
            </w:r>
            <w:r>
              <w:rPr>
                <w:rFonts w:hint="eastAsia" w:ascii="新宋体" w:hAnsi="新宋体" w:eastAsia="文星仿宋"/>
                <w:b/>
                <w:sz w:val="24"/>
                <w:szCs w:val="24"/>
                <w:lang w:val="en-US"/>
              </w:rPr>
              <w:t>大力引育科创人才</w:t>
            </w:r>
            <w:r>
              <w:rPr>
                <w:rFonts w:hint="eastAsia" w:ascii="新宋体" w:hAnsi="新宋体" w:eastAsia="文星仿宋"/>
                <w:b/>
                <w:sz w:val="24"/>
                <w:szCs w:val="24"/>
              </w:rPr>
              <w:t>。</w:t>
            </w:r>
          </w:p>
        </w:tc>
        <w:tc>
          <w:tcPr>
            <w:tcW w:w="6173" w:type="dxa"/>
            <w:vAlign w:val="center"/>
          </w:tcPr>
          <w:p>
            <w:pPr>
              <w:pStyle w:val="16"/>
              <w:spacing w:line="360" w:lineRule="exact"/>
              <w:jc w:val="both"/>
              <w:rPr>
                <w:rFonts w:ascii="新宋体" w:hAnsi="新宋体" w:eastAsia="文星仿宋"/>
                <w:b/>
                <w:sz w:val="24"/>
                <w:szCs w:val="24"/>
              </w:rPr>
            </w:pPr>
            <w:r>
              <w:rPr>
                <w:rFonts w:hint="eastAsia" w:ascii="新宋体" w:hAnsi="新宋体" w:eastAsia="文星仿宋"/>
                <w:b/>
                <w:sz w:val="24"/>
                <w:szCs w:val="24"/>
              </w:rPr>
              <w:t>深入</w:t>
            </w:r>
            <w:r>
              <w:rPr>
                <w:rFonts w:hint="eastAsia" w:ascii="新宋体" w:hAnsi="新宋体" w:eastAsia="文星仿宋"/>
                <w:b/>
                <w:sz w:val="24"/>
                <w:szCs w:val="24"/>
                <w:lang w:val="en-US"/>
              </w:rPr>
              <w:t>推进《“汶源英才”工程20条政策措施》，引进一批高层次创新创业人才团队。</w:t>
            </w:r>
            <w:r>
              <w:rPr>
                <w:rFonts w:hint="eastAsia" w:ascii="新宋体" w:hAnsi="新宋体" w:eastAsia="文星仿宋"/>
                <w:b/>
                <w:sz w:val="24"/>
                <w:szCs w:val="24"/>
              </w:rPr>
              <w:t>对</w:t>
            </w:r>
            <w:r>
              <w:rPr>
                <w:rFonts w:hint="eastAsia" w:ascii="新宋体" w:hAnsi="新宋体" w:eastAsia="文星仿宋"/>
                <w:b/>
                <w:sz w:val="24"/>
                <w:szCs w:val="24"/>
                <w:lang w:val="en-US"/>
              </w:rPr>
              <w:t>顶尖人才（团队）</w:t>
            </w:r>
            <w:r>
              <w:rPr>
                <w:rFonts w:hint="eastAsia" w:ascii="新宋体" w:hAnsi="新宋体" w:eastAsia="文星仿宋"/>
                <w:b/>
                <w:sz w:val="24"/>
                <w:szCs w:val="24"/>
              </w:rPr>
              <w:t>，采取“一事一议”方式</w:t>
            </w:r>
            <w:r>
              <w:rPr>
                <w:rFonts w:hint="eastAsia" w:ascii="新宋体" w:hAnsi="新宋体" w:eastAsia="文星仿宋"/>
                <w:b/>
                <w:sz w:val="24"/>
                <w:szCs w:val="24"/>
                <w:lang w:val="en-US"/>
              </w:rPr>
              <w:t>引进</w:t>
            </w:r>
            <w:r>
              <w:rPr>
                <w:rFonts w:hint="eastAsia" w:ascii="新宋体" w:hAnsi="新宋体" w:eastAsia="文星仿宋"/>
                <w:b/>
                <w:sz w:val="24"/>
                <w:szCs w:val="24"/>
              </w:rPr>
              <w:t>，在住房政策、子女教育等方面给予支持，实现精准</w:t>
            </w:r>
            <w:r>
              <w:rPr>
                <w:rFonts w:hint="eastAsia" w:ascii="新宋体" w:hAnsi="新宋体" w:eastAsia="文星仿宋"/>
                <w:b/>
                <w:sz w:val="24"/>
                <w:szCs w:val="24"/>
                <w:lang w:val="en-US"/>
              </w:rPr>
              <w:t>引才</w:t>
            </w:r>
            <w:r>
              <w:rPr>
                <w:rFonts w:hint="eastAsia" w:ascii="新宋体" w:hAnsi="新宋体" w:eastAsia="文星仿宋"/>
                <w:b/>
                <w:sz w:val="24"/>
                <w:szCs w:val="24"/>
              </w:rPr>
              <w:t>。</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区委组织部、区科技局</w:t>
            </w:r>
          </w:p>
        </w:tc>
        <w:tc>
          <w:tcPr>
            <w:tcW w:w="2069"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w:t>
            </w:r>
            <w:r>
              <w:rPr>
                <w:rFonts w:hint="eastAsia" w:ascii="新宋体" w:hAnsi="新宋体" w:eastAsia="文星仿宋"/>
                <w:b/>
                <w:sz w:val="24"/>
                <w:szCs w:val="24"/>
              </w:rPr>
              <w:t>教育和体育局、</w:t>
            </w:r>
            <w:r>
              <w:rPr>
                <w:rFonts w:hint="eastAsia" w:ascii="新宋体" w:hAnsi="新宋体" w:eastAsia="文星仿宋"/>
                <w:b/>
                <w:sz w:val="24"/>
                <w:szCs w:val="24"/>
                <w:lang w:val="en-US"/>
              </w:rPr>
              <w:t>区人力资源社会保障局</w:t>
            </w:r>
            <w:r>
              <w:rPr>
                <w:rFonts w:hint="eastAsia" w:ascii="新宋体" w:hAnsi="新宋体" w:eastAsia="文星仿宋"/>
                <w:b/>
                <w:sz w:val="24"/>
                <w:szCs w:val="24"/>
              </w:rPr>
              <w:t>、</w:t>
            </w:r>
            <w:r>
              <w:rPr>
                <w:rFonts w:hint="eastAsia" w:ascii="新宋体" w:hAnsi="新宋体" w:eastAsia="文星仿宋"/>
                <w:b/>
                <w:sz w:val="24"/>
                <w:szCs w:val="24"/>
                <w:lang w:val="en-US"/>
              </w:rPr>
              <w:t>区</w:t>
            </w:r>
            <w:r>
              <w:rPr>
                <w:rFonts w:hint="eastAsia" w:ascii="新宋体" w:hAnsi="新宋体" w:eastAsia="文星仿宋"/>
                <w:b/>
                <w:sz w:val="24"/>
                <w:szCs w:val="24"/>
              </w:rPr>
              <w:t>住房城乡建设局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421" w:hRule="atLeast"/>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28</w:t>
            </w:r>
          </w:p>
        </w:tc>
        <w:tc>
          <w:tcPr>
            <w:tcW w:w="1337" w:type="dxa"/>
            <w:vMerge w:val="continue"/>
            <w:vAlign w:val="center"/>
          </w:tcPr>
          <w:p>
            <w:pPr>
              <w:spacing w:line="360" w:lineRule="exact"/>
              <w:jc w:val="both"/>
              <w:rPr>
                <w:rFonts w:ascii="新宋体" w:hAnsi="新宋体" w:eastAsia="文星仿宋"/>
                <w:b/>
                <w:sz w:val="24"/>
                <w:szCs w:val="24"/>
              </w:rPr>
            </w:pPr>
          </w:p>
        </w:tc>
        <w:tc>
          <w:tcPr>
            <w:tcW w:w="6173" w:type="dxa"/>
            <w:vAlign w:val="center"/>
          </w:tcPr>
          <w:p>
            <w:pPr>
              <w:pStyle w:val="16"/>
              <w:spacing w:line="360" w:lineRule="exact"/>
              <w:jc w:val="both"/>
              <w:rPr>
                <w:rFonts w:ascii="新宋体" w:hAnsi="新宋体" w:eastAsia="文星仿宋"/>
                <w:b/>
                <w:sz w:val="24"/>
                <w:szCs w:val="24"/>
              </w:rPr>
            </w:pPr>
            <w:r>
              <w:rPr>
                <w:rFonts w:hint="eastAsia" w:ascii="新宋体" w:hAnsi="新宋体" w:eastAsia="文星仿宋"/>
                <w:b/>
                <w:sz w:val="24"/>
                <w:szCs w:val="24"/>
              </w:rPr>
              <w:t>深入推进“金蓝领工匠”集聚计划，</w:t>
            </w:r>
            <w:r>
              <w:rPr>
                <w:rFonts w:hint="eastAsia" w:ascii="新宋体" w:hAnsi="新宋体" w:eastAsia="文星仿宋"/>
                <w:b/>
                <w:sz w:val="24"/>
                <w:szCs w:val="24"/>
                <w:lang w:val="en-US"/>
              </w:rPr>
              <w:t>鼓励引进专业型人才，</w:t>
            </w:r>
            <w:r>
              <w:rPr>
                <w:rFonts w:hint="eastAsia" w:ascii="新宋体" w:hAnsi="新宋体" w:eastAsia="文星仿宋"/>
                <w:b/>
                <w:sz w:val="24"/>
                <w:szCs w:val="24"/>
              </w:rPr>
              <w:t>探索技术移民、人才飞地等柔性引才方式，加大急需紧缺高技能人才引育力度。</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区人力资源社会保障局</w:t>
            </w:r>
          </w:p>
        </w:tc>
        <w:tc>
          <w:tcPr>
            <w:tcW w:w="2069"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w:t>
            </w:r>
            <w:r>
              <w:rPr>
                <w:rFonts w:hint="eastAsia" w:ascii="新宋体" w:hAnsi="新宋体" w:eastAsia="文星仿宋"/>
                <w:b/>
                <w:sz w:val="24"/>
                <w:szCs w:val="24"/>
              </w:rPr>
              <w:t>教育和体育局、</w:t>
            </w:r>
            <w:r>
              <w:rPr>
                <w:rFonts w:hint="eastAsia" w:ascii="新宋体" w:hAnsi="新宋体" w:eastAsia="文星仿宋"/>
                <w:b/>
                <w:sz w:val="24"/>
                <w:szCs w:val="24"/>
                <w:lang w:val="en-US"/>
              </w:rPr>
              <w:t>区工业和信息化局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29</w:t>
            </w:r>
          </w:p>
        </w:tc>
        <w:tc>
          <w:tcPr>
            <w:tcW w:w="1337" w:type="dxa"/>
            <w:vMerge w:val="continue"/>
            <w:vAlign w:val="center"/>
          </w:tcPr>
          <w:p>
            <w:pPr>
              <w:spacing w:line="360" w:lineRule="exact"/>
              <w:jc w:val="both"/>
              <w:rPr>
                <w:rFonts w:ascii="新宋体" w:hAnsi="新宋体" w:eastAsia="文星仿宋"/>
                <w:b/>
                <w:sz w:val="24"/>
                <w:szCs w:val="24"/>
              </w:rPr>
            </w:pPr>
          </w:p>
        </w:tc>
        <w:tc>
          <w:tcPr>
            <w:tcW w:w="6173" w:type="dxa"/>
            <w:vAlign w:val="center"/>
          </w:tcPr>
          <w:p>
            <w:pPr>
              <w:pStyle w:val="16"/>
              <w:spacing w:line="360" w:lineRule="exact"/>
              <w:jc w:val="both"/>
              <w:rPr>
                <w:rFonts w:ascii="新宋体" w:hAnsi="新宋体" w:eastAsia="文星仿宋"/>
                <w:b/>
                <w:sz w:val="24"/>
                <w:szCs w:val="24"/>
              </w:rPr>
            </w:pPr>
            <w:r>
              <w:rPr>
                <w:rFonts w:hint="eastAsia" w:ascii="新宋体" w:hAnsi="新宋体" w:eastAsia="文星仿宋"/>
                <w:b/>
                <w:sz w:val="24"/>
                <w:szCs w:val="24"/>
              </w:rPr>
              <w:t>推进各类领军型技能人才选拔项目实施，鼓励各行各业广泛开展技能大赛。加快建设优质技能人才培养载体，培养、集聚能够解决企业关键操作技术和生产工艺难题的高水平技能人才。</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区人力资源社会保障局</w:t>
            </w:r>
          </w:p>
        </w:tc>
        <w:tc>
          <w:tcPr>
            <w:tcW w:w="2069"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区教育和体育局、区科技局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037" w:hRule="atLeast"/>
          <w:jc w:val="center"/>
        </w:trPr>
        <w:tc>
          <w:tcPr>
            <w:tcW w:w="627" w:type="dxa"/>
            <w:vAlign w:val="center"/>
          </w:tcPr>
          <w:p>
            <w:pPr>
              <w:spacing w:line="40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30</w:t>
            </w:r>
          </w:p>
        </w:tc>
        <w:tc>
          <w:tcPr>
            <w:tcW w:w="1337" w:type="dxa"/>
            <w:vMerge w:val="restart"/>
            <w:vAlign w:val="center"/>
          </w:tcPr>
          <w:p>
            <w:pPr>
              <w:spacing w:line="400" w:lineRule="exact"/>
              <w:jc w:val="both"/>
              <w:rPr>
                <w:rFonts w:ascii="新宋体" w:hAnsi="新宋体" w:eastAsia="文星仿宋"/>
                <w:b/>
                <w:sz w:val="24"/>
                <w:szCs w:val="24"/>
              </w:rPr>
            </w:pPr>
            <w:r>
              <w:rPr>
                <w:rFonts w:hint="eastAsia" w:ascii="新宋体" w:hAnsi="新宋体" w:eastAsia="文星仿宋"/>
                <w:b/>
                <w:sz w:val="24"/>
                <w:szCs w:val="24"/>
              </w:rPr>
              <w:t>（</w:t>
            </w:r>
            <w:r>
              <w:rPr>
                <w:rFonts w:hint="eastAsia" w:ascii="新宋体" w:hAnsi="新宋体" w:eastAsia="文星仿宋"/>
                <w:b/>
                <w:sz w:val="24"/>
                <w:szCs w:val="24"/>
                <w:lang w:val="en-US"/>
              </w:rPr>
              <w:t>17</w:t>
            </w:r>
            <w:r>
              <w:rPr>
                <w:rFonts w:hint="eastAsia" w:ascii="新宋体" w:hAnsi="新宋体" w:eastAsia="文星仿宋"/>
                <w:b/>
                <w:sz w:val="24"/>
                <w:szCs w:val="24"/>
              </w:rPr>
              <w:t>）强化专业技能人才培训。</w:t>
            </w:r>
          </w:p>
        </w:tc>
        <w:tc>
          <w:tcPr>
            <w:tcW w:w="6173" w:type="dxa"/>
            <w:vAlign w:val="center"/>
          </w:tcPr>
          <w:p>
            <w:pPr>
              <w:pStyle w:val="16"/>
              <w:spacing w:line="400" w:lineRule="exact"/>
              <w:jc w:val="both"/>
              <w:rPr>
                <w:rFonts w:ascii="新宋体" w:hAnsi="新宋体" w:eastAsia="文星仿宋"/>
                <w:b/>
                <w:sz w:val="24"/>
                <w:szCs w:val="24"/>
              </w:rPr>
            </w:pPr>
            <w:r>
              <w:rPr>
                <w:rFonts w:hint="eastAsia" w:ascii="新宋体" w:hAnsi="新宋体" w:eastAsia="文星仿宋"/>
                <w:b/>
                <w:color w:val="000000" w:themeColor="text1"/>
                <w:sz w:val="24"/>
                <w:szCs w:val="24"/>
              </w:rPr>
              <w:t>积极参与“金蓝领”培训项目，每年</w:t>
            </w:r>
            <w:r>
              <w:rPr>
                <w:rFonts w:hint="eastAsia" w:ascii="新宋体" w:hAnsi="新宋体" w:eastAsia="文星仿宋"/>
                <w:b/>
                <w:sz w:val="24"/>
                <w:szCs w:val="24"/>
              </w:rPr>
              <w:t>参加技师、高级技师等级培养的企业职工不少于</w:t>
            </w:r>
            <w:r>
              <w:rPr>
                <w:rFonts w:hint="eastAsia" w:ascii="新宋体" w:hAnsi="新宋体" w:eastAsia="文星仿宋"/>
                <w:b/>
                <w:sz w:val="24"/>
                <w:szCs w:val="24"/>
                <w:lang w:val="en-US"/>
              </w:rPr>
              <w:t>80</w:t>
            </w:r>
            <w:r>
              <w:rPr>
                <w:rFonts w:hint="eastAsia" w:ascii="新宋体" w:hAnsi="新宋体" w:eastAsia="文星仿宋"/>
                <w:b/>
                <w:sz w:val="24"/>
                <w:szCs w:val="24"/>
              </w:rPr>
              <w:t>人。</w:t>
            </w:r>
          </w:p>
        </w:tc>
        <w:tc>
          <w:tcPr>
            <w:tcW w:w="1559" w:type="dxa"/>
            <w:vAlign w:val="center"/>
          </w:tcPr>
          <w:p>
            <w:pPr>
              <w:spacing w:line="40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400" w:lineRule="exact"/>
              <w:jc w:val="both"/>
              <w:rPr>
                <w:rFonts w:ascii="新宋体" w:hAnsi="新宋体" w:eastAsia="文星仿宋"/>
                <w:b/>
                <w:sz w:val="24"/>
                <w:szCs w:val="24"/>
              </w:rPr>
            </w:pPr>
            <w:r>
              <w:rPr>
                <w:rFonts w:hint="eastAsia" w:ascii="新宋体" w:hAnsi="新宋体" w:eastAsia="文星仿宋"/>
                <w:b/>
                <w:sz w:val="24"/>
                <w:szCs w:val="24"/>
                <w:lang w:val="en-US"/>
              </w:rPr>
              <w:t>区人力资源社会保障局</w:t>
            </w:r>
          </w:p>
        </w:tc>
        <w:tc>
          <w:tcPr>
            <w:tcW w:w="2069" w:type="dxa"/>
            <w:vAlign w:val="center"/>
          </w:tcPr>
          <w:p>
            <w:pPr>
              <w:spacing w:line="400" w:lineRule="exact"/>
              <w:jc w:val="both"/>
              <w:rPr>
                <w:rFonts w:ascii="新宋体" w:hAnsi="新宋体" w:eastAsia="文星仿宋"/>
                <w:b/>
                <w:sz w:val="24"/>
                <w:szCs w:val="24"/>
              </w:rPr>
            </w:pPr>
            <w:r>
              <w:rPr>
                <w:rFonts w:hint="eastAsia" w:ascii="新宋体" w:hAnsi="新宋体" w:eastAsia="文星仿宋"/>
                <w:b/>
                <w:sz w:val="24"/>
                <w:szCs w:val="24"/>
                <w:lang w:val="en-US"/>
              </w:rPr>
              <w:t>区教育和体育局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80" w:hRule="atLeast"/>
          <w:jc w:val="center"/>
        </w:trPr>
        <w:tc>
          <w:tcPr>
            <w:tcW w:w="627" w:type="dxa"/>
            <w:vAlign w:val="center"/>
          </w:tcPr>
          <w:p>
            <w:pPr>
              <w:spacing w:line="40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31</w:t>
            </w:r>
          </w:p>
        </w:tc>
        <w:tc>
          <w:tcPr>
            <w:tcW w:w="1337" w:type="dxa"/>
            <w:vMerge w:val="continue"/>
            <w:vAlign w:val="center"/>
          </w:tcPr>
          <w:p>
            <w:pPr>
              <w:spacing w:line="400" w:lineRule="exact"/>
              <w:jc w:val="both"/>
              <w:rPr>
                <w:rFonts w:ascii="新宋体" w:hAnsi="新宋体" w:eastAsia="文星仿宋"/>
                <w:b/>
                <w:sz w:val="24"/>
                <w:szCs w:val="24"/>
              </w:rPr>
            </w:pPr>
          </w:p>
        </w:tc>
        <w:tc>
          <w:tcPr>
            <w:tcW w:w="6173" w:type="dxa"/>
            <w:vAlign w:val="center"/>
          </w:tcPr>
          <w:p>
            <w:pPr>
              <w:pStyle w:val="16"/>
              <w:spacing w:line="400" w:lineRule="exact"/>
              <w:jc w:val="both"/>
              <w:rPr>
                <w:rFonts w:ascii="新宋体" w:hAnsi="新宋体" w:eastAsia="文星仿宋"/>
                <w:b/>
                <w:sz w:val="24"/>
                <w:szCs w:val="24"/>
              </w:rPr>
            </w:pPr>
            <w:r>
              <w:rPr>
                <w:rFonts w:hint="eastAsia" w:ascii="新宋体" w:hAnsi="新宋体" w:eastAsia="文星仿宋"/>
                <w:b/>
                <w:sz w:val="24"/>
                <w:szCs w:val="24"/>
              </w:rPr>
              <w:t>加快产教融合型学徒制培训，全</w:t>
            </w:r>
            <w:r>
              <w:rPr>
                <w:rFonts w:hint="eastAsia" w:ascii="新宋体" w:hAnsi="新宋体" w:eastAsia="文星仿宋"/>
                <w:b/>
                <w:sz w:val="24"/>
                <w:szCs w:val="24"/>
                <w:lang w:val="en-US"/>
              </w:rPr>
              <w:t>区</w:t>
            </w:r>
            <w:r>
              <w:rPr>
                <w:rFonts w:hint="eastAsia" w:ascii="新宋体" w:hAnsi="新宋体" w:eastAsia="文星仿宋"/>
                <w:b/>
                <w:sz w:val="24"/>
                <w:szCs w:val="24"/>
              </w:rPr>
              <w:t>培养企业新型学徒职工不少于</w:t>
            </w:r>
            <w:r>
              <w:rPr>
                <w:rFonts w:hint="eastAsia" w:ascii="新宋体" w:hAnsi="新宋体" w:eastAsia="文星仿宋"/>
                <w:b/>
                <w:sz w:val="24"/>
                <w:szCs w:val="24"/>
                <w:lang w:val="en-US"/>
              </w:rPr>
              <w:t>400</w:t>
            </w:r>
            <w:r>
              <w:rPr>
                <w:rFonts w:hint="eastAsia" w:ascii="新宋体" w:hAnsi="新宋体" w:eastAsia="文星仿宋"/>
                <w:b/>
                <w:sz w:val="24"/>
                <w:szCs w:val="24"/>
              </w:rPr>
              <w:t>名。</w:t>
            </w:r>
          </w:p>
        </w:tc>
        <w:tc>
          <w:tcPr>
            <w:tcW w:w="1559" w:type="dxa"/>
            <w:vAlign w:val="center"/>
          </w:tcPr>
          <w:p>
            <w:pPr>
              <w:spacing w:line="400" w:lineRule="exact"/>
              <w:jc w:val="center"/>
              <w:rPr>
                <w:rFonts w:ascii="新宋体" w:hAnsi="新宋体" w:eastAsia="文星仿宋"/>
                <w:b/>
                <w:sz w:val="24"/>
                <w:szCs w:val="24"/>
              </w:rPr>
            </w:pPr>
            <w:r>
              <w:rPr>
                <w:rFonts w:hint="eastAsia" w:ascii="新宋体" w:hAnsi="新宋体" w:eastAsia="文星仿宋"/>
                <w:b/>
                <w:sz w:val="24"/>
                <w:szCs w:val="24"/>
              </w:rPr>
              <w:t>“十四五”末</w:t>
            </w:r>
          </w:p>
        </w:tc>
        <w:tc>
          <w:tcPr>
            <w:tcW w:w="1843" w:type="dxa"/>
            <w:vAlign w:val="center"/>
          </w:tcPr>
          <w:p>
            <w:pPr>
              <w:spacing w:line="400" w:lineRule="exact"/>
              <w:jc w:val="both"/>
              <w:rPr>
                <w:rFonts w:ascii="新宋体" w:hAnsi="新宋体" w:eastAsia="文星仿宋"/>
                <w:b/>
                <w:sz w:val="24"/>
                <w:szCs w:val="24"/>
              </w:rPr>
            </w:pPr>
            <w:r>
              <w:rPr>
                <w:rFonts w:hint="eastAsia" w:ascii="新宋体" w:hAnsi="新宋体" w:eastAsia="文星仿宋"/>
                <w:b/>
                <w:sz w:val="24"/>
                <w:szCs w:val="24"/>
                <w:lang w:val="en-US"/>
              </w:rPr>
              <w:t>区人力资源社会保障局</w:t>
            </w:r>
          </w:p>
        </w:tc>
        <w:tc>
          <w:tcPr>
            <w:tcW w:w="2069" w:type="dxa"/>
            <w:vAlign w:val="center"/>
          </w:tcPr>
          <w:p>
            <w:pPr>
              <w:spacing w:line="400" w:lineRule="exact"/>
              <w:jc w:val="both"/>
              <w:rPr>
                <w:rFonts w:ascii="新宋体" w:hAnsi="新宋体" w:eastAsia="文星仿宋"/>
                <w:b/>
                <w:sz w:val="24"/>
                <w:szCs w:val="24"/>
              </w:rPr>
            </w:pPr>
            <w:r>
              <w:rPr>
                <w:rFonts w:hint="eastAsia" w:ascii="新宋体" w:hAnsi="新宋体" w:eastAsia="文星仿宋"/>
                <w:b/>
                <w:sz w:val="24"/>
                <w:szCs w:val="24"/>
                <w:lang w:val="en-US"/>
              </w:rPr>
              <w:t>区教育和体育局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80" w:hRule="atLeast"/>
          <w:jc w:val="center"/>
        </w:trPr>
        <w:tc>
          <w:tcPr>
            <w:tcW w:w="627" w:type="dxa"/>
            <w:vAlign w:val="center"/>
          </w:tcPr>
          <w:p>
            <w:pPr>
              <w:spacing w:line="40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32</w:t>
            </w:r>
          </w:p>
        </w:tc>
        <w:tc>
          <w:tcPr>
            <w:tcW w:w="1337" w:type="dxa"/>
            <w:vMerge w:val="continue"/>
            <w:vAlign w:val="center"/>
          </w:tcPr>
          <w:p>
            <w:pPr>
              <w:spacing w:line="400" w:lineRule="exact"/>
              <w:jc w:val="both"/>
              <w:rPr>
                <w:rFonts w:ascii="新宋体" w:hAnsi="新宋体" w:eastAsia="文星仿宋"/>
                <w:b/>
                <w:sz w:val="24"/>
                <w:szCs w:val="24"/>
              </w:rPr>
            </w:pPr>
          </w:p>
        </w:tc>
        <w:tc>
          <w:tcPr>
            <w:tcW w:w="6173" w:type="dxa"/>
            <w:vAlign w:val="center"/>
          </w:tcPr>
          <w:p>
            <w:pPr>
              <w:pStyle w:val="16"/>
              <w:spacing w:line="400" w:lineRule="exact"/>
              <w:jc w:val="both"/>
              <w:rPr>
                <w:rFonts w:ascii="新宋体" w:hAnsi="新宋体" w:eastAsia="文星仿宋"/>
                <w:b/>
                <w:sz w:val="24"/>
                <w:szCs w:val="24"/>
              </w:rPr>
            </w:pPr>
            <w:r>
              <w:rPr>
                <w:rFonts w:hint="eastAsia" w:ascii="新宋体" w:hAnsi="新宋体" w:eastAsia="文星仿宋"/>
                <w:b/>
                <w:sz w:val="24"/>
                <w:szCs w:val="24"/>
              </w:rPr>
              <w:t>每年创业培训</w:t>
            </w:r>
            <w:r>
              <w:rPr>
                <w:rFonts w:hint="eastAsia" w:ascii="新宋体" w:hAnsi="新宋体" w:eastAsia="文星仿宋"/>
                <w:b/>
                <w:sz w:val="24"/>
                <w:szCs w:val="24"/>
                <w:lang w:val="en-US"/>
              </w:rPr>
              <w:t>100</w:t>
            </w:r>
            <w:r>
              <w:rPr>
                <w:rFonts w:hint="eastAsia" w:ascii="新宋体" w:hAnsi="新宋体" w:eastAsia="文星仿宋"/>
                <w:b/>
                <w:sz w:val="24"/>
                <w:szCs w:val="24"/>
              </w:rPr>
              <w:t>人以上，</w:t>
            </w:r>
            <w:r>
              <w:rPr>
                <w:rFonts w:hint="eastAsia" w:ascii="新宋体" w:hAnsi="新宋体" w:eastAsia="文星仿宋"/>
                <w:b/>
                <w:sz w:val="24"/>
                <w:szCs w:val="24"/>
                <w:lang w:val="en-US"/>
              </w:rPr>
              <w:t>每年</w:t>
            </w:r>
            <w:r>
              <w:rPr>
                <w:rFonts w:hint="eastAsia" w:ascii="新宋体" w:hAnsi="新宋体" w:eastAsia="文星仿宋"/>
                <w:b/>
                <w:sz w:val="24"/>
                <w:szCs w:val="24"/>
              </w:rPr>
              <w:t>开展补贴性职业技能培训人数</w:t>
            </w:r>
            <w:r>
              <w:rPr>
                <w:rFonts w:hint="eastAsia" w:ascii="新宋体" w:hAnsi="新宋体" w:eastAsia="文星仿宋"/>
                <w:b/>
                <w:sz w:val="24"/>
                <w:szCs w:val="24"/>
                <w:lang w:val="en-US"/>
              </w:rPr>
              <w:t>4200</w:t>
            </w:r>
            <w:r>
              <w:rPr>
                <w:rFonts w:hint="eastAsia" w:ascii="新宋体" w:hAnsi="新宋体" w:eastAsia="文星仿宋"/>
                <w:b/>
                <w:sz w:val="24"/>
                <w:szCs w:val="24"/>
              </w:rPr>
              <w:t>人以上，高技能人才总量达到</w:t>
            </w:r>
            <w:r>
              <w:rPr>
                <w:rFonts w:hint="eastAsia" w:ascii="新宋体" w:hAnsi="新宋体" w:eastAsia="文星仿宋"/>
                <w:b/>
                <w:sz w:val="24"/>
                <w:szCs w:val="24"/>
                <w:lang w:val="en-US"/>
              </w:rPr>
              <w:t>400</w:t>
            </w:r>
            <w:r>
              <w:rPr>
                <w:rFonts w:hint="eastAsia" w:ascii="新宋体" w:hAnsi="新宋体" w:eastAsia="文星仿宋"/>
                <w:b/>
                <w:sz w:val="24"/>
                <w:szCs w:val="24"/>
              </w:rPr>
              <w:t>人。</w:t>
            </w:r>
          </w:p>
        </w:tc>
        <w:tc>
          <w:tcPr>
            <w:tcW w:w="1559" w:type="dxa"/>
            <w:vAlign w:val="center"/>
          </w:tcPr>
          <w:p>
            <w:pPr>
              <w:spacing w:line="400" w:lineRule="exact"/>
              <w:jc w:val="center"/>
              <w:rPr>
                <w:rFonts w:ascii="新宋体" w:hAnsi="新宋体" w:eastAsia="文星仿宋"/>
                <w:b/>
                <w:sz w:val="24"/>
                <w:szCs w:val="24"/>
              </w:rPr>
            </w:pPr>
            <w:r>
              <w:rPr>
                <w:rFonts w:hint="eastAsia" w:ascii="新宋体" w:hAnsi="新宋体" w:eastAsia="文星仿宋"/>
                <w:b/>
                <w:sz w:val="24"/>
                <w:szCs w:val="24"/>
              </w:rPr>
              <w:t>“十四五”末</w:t>
            </w:r>
          </w:p>
        </w:tc>
        <w:tc>
          <w:tcPr>
            <w:tcW w:w="1843" w:type="dxa"/>
            <w:vAlign w:val="center"/>
          </w:tcPr>
          <w:p>
            <w:pPr>
              <w:spacing w:line="400" w:lineRule="exact"/>
              <w:jc w:val="both"/>
              <w:rPr>
                <w:rFonts w:ascii="新宋体" w:hAnsi="新宋体" w:eastAsia="文星仿宋"/>
                <w:b/>
                <w:sz w:val="24"/>
                <w:szCs w:val="24"/>
              </w:rPr>
            </w:pPr>
            <w:r>
              <w:rPr>
                <w:rFonts w:hint="eastAsia" w:ascii="新宋体" w:hAnsi="新宋体" w:eastAsia="文星仿宋"/>
                <w:b/>
                <w:sz w:val="24"/>
                <w:szCs w:val="24"/>
                <w:lang w:val="en-US"/>
              </w:rPr>
              <w:t>区人力资源社会保障局</w:t>
            </w:r>
          </w:p>
        </w:tc>
        <w:tc>
          <w:tcPr>
            <w:tcW w:w="2069" w:type="dxa"/>
            <w:vAlign w:val="center"/>
          </w:tcPr>
          <w:p>
            <w:pPr>
              <w:spacing w:line="400" w:lineRule="exact"/>
              <w:jc w:val="both"/>
              <w:rPr>
                <w:rFonts w:ascii="新宋体" w:hAnsi="新宋体" w:eastAsia="文星仿宋"/>
                <w:b/>
                <w:sz w:val="24"/>
                <w:szCs w:val="24"/>
              </w:rPr>
            </w:pPr>
            <w:r>
              <w:rPr>
                <w:rFonts w:hint="eastAsia" w:ascii="新宋体" w:hAnsi="新宋体" w:eastAsia="文星仿宋"/>
                <w:b/>
                <w:sz w:val="24"/>
                <w:szCs w:val="24"/>
                <w:lang w:val="en-US"/>
              </w:rPr>
              <w:t>区教育和体育局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979" w:hRule="atLeast"/>
          <w:jc w:val="center"/>
        </w:trPr>
        <w:tc>
          <w:tcPr>
            <w:tcW w:w="627" w:type="dxa"/>
            <w:vAlign w:val="center"/>
          </w:tcPr>
          <w:p>
            <w:pPr>
              <w:spacing w:line="40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33</w:t>
            </w:r>
          </w:p>
        </w:tc>
        <w:tc>
          <w:tcPr>
            <w:tcW w:w="1337" w:type="dxa"/>
            <w:vMerge w:val="restart"/>
            <w:vAlign w:val="center"/>
          </w:tcPr>
          <w:p>
            <w:pPr>
              <w:spacing w:line="400" w:lineRule="exact"/>
              <w:jc w:val="both"/>
              <w:rPr>
                <w:rFonts w:ascii="新宋体" w:hAnsi="新宋体" w:eastAsia="文星仿宋"/>
                <w:b/>
                <w:sz w:val="24"/>
                <w:szCs w:val="24"/>
                <w:lang w:val="en-US"/>
              </w:rPr>
            </w:pPr>
            <w:r>
              <w:rPr>
                <w:rFonts w:hint="eastAsia" w:ascii="新宋体" w:hAnsi="新宋体" w:eastAsia="文星仿宋"/>
                <w:b/>
                <w:sz w:val="24"/>
                <w:szCs w:val="24"/>
              </w:rPr>
              <w:t>（</w:t>
            </w:r>
            <w:r>
              <w:rPr>
                <w:rFonts w:hint="eastAsia" w:ascii="新宋体" w:hAnsi="新宋体" w:eastAsia="文星仿宋"/>
                <w:b/>
                <w:sz w:val="24"/>
                <w:szCs w:val="24"/>
                <w:lang w:val="en-US"/>
              </w:rPr>
              <w:t>18</w:t>
            </w:r>
            <w:r>
              <w:rPr>
                <w:rFonts w:hint="eastAsia" w:ascii="新宋体" w:hAnsi="新宋体" w:eastAsia="文星仿宋"/>
                <w:b/>
                <w:sz w:val="24"/>
                <w:szCs w:val="24"/>
              </w:rPr>
              <w:t>）完善</w:t>
            </w:r>
            <w:r>
              <w:rPr>
                <w:rFonts w:hint="eastAsia" w:ascii="新宋体" w:hAnsi="新宋体" w:eastAsia="文星仿宋"/>
                <w:b/>
                <w:sz w:val="24"/>
                <w:szCs w:val="24"/>
                <w:lang w:val="en-US"/>
              </w:rPr>
              <w:t>人才培育和激励评价方式。</w:t>
            </w:r>
          </w:p>
        </w:tc>
        <w:tc>
          <w:tcPr>
            <w:tcW w:w="6173" w:type="dxa"/>
            <w:vAlign w:val="center"/>
          </w:tcPr>
          <w:p>
            <w:pPr>
              <w:pStyle w:val="16"/>
              <w:spacing w:line="400" w:lineRule="exact"/>
              <w:jc w:val="both"/>
              <w:rPr>
                <w:rFonts w:ascii="新宋体" w:hAnsi="新宋体" w:eastAsia="文星仿宋"/>
                <w:b/>
                <w:sz w:val="24"/>
                <w:szCs w:val="24"/>
              </w:rPr>
            </w:pPr>
            <w:r>
              <w:rPr>
                <w:rFonts w:hint="eastAsia" w:ascii="新宋体" w:hAnsi="新宋体" w:eastAsia="文星仿宋"/>
                <w:b/>
                <w:sz w:val="24"/>
                <w:szCs w:val="24"/>
                <w:lang w:val="en-US"/>
              </w:rPr>
              <w:t>开展</w:t>
            </w:r>
            <w:r>
              <w:rPr>
                <w:rFonts w:hint="eastAsia" w:ascii="新宋体" w:hAnsi="新宋体" w:eastAsia="文星仿宋"/>
                <w:b/>
                <w:sz w:val="24"/>
                <w:szCs w:val="24"/>
              </w:rPr>
              <w:t>大学生创业创新</w:t>
            </w:r>
            <w:r>
              <w:rPr>
                <w:rFonts w:hint="eastAsia" w:ascii="新宋体" w:hAnsi="新宋体" w:eastAsia="文星仿宋"/>
                <w:b/>
                <w:sz w:val="24"/>
                <w:szCs w:val="24"/>
                <w:lang w:val="en-US"/>
              </w:rPr>
              <w:t>讲座、培训</w:t>
            </w:r>
            <w:r>
              <w:rPr>
                <w:rFonts w:hint="eastAsia" w:ascii="新宋体" w:hAnsi="新宋体" w:eastAsia="文星仿宋"/>
                <w:b/>
                <w:sz w:val="24"/>
                <w:szCs w:val="24"/>
              </w:rPr>
              <w:t>，</w:t>
            </w:r>
            <w:r>
              <w:rPr>
                <w:rFonts w:hint="eastAsia" w:ascii="新宋体" w:hAnsi="新宋体" w:eastAsia="文星仿宋"/>
                <w:b/>
                <w:sz w:val="24"/>
                <w:szCs w:val="24"/>
                <w:lang w:val="en-US"/>
              </w:rPr>
              <w:t>协调做好高层次人才子女入园、入学工作</w:t>
            </w:r>
            <w:r>
              <w:rPr>
                <w:rFonts w:hint="eastAsia" w:ascii="新宋体" w:hAnsi="新宋体" w:eastAsia="文星仿宋"/>
                <w:b/>
                <w:sz w:val="24"/>
                <w:szCs w:val="24"/>
              </w:rPr>
              <w:t>。</w:t>
            </w:r>
          </w:p>
        </w:tc>
        <w:tc>
          <w:tcPr>
            <w:tcW w:w="1559" w:type="dxa"/>
            <w:vAlign w:val="center"/>
          </w:tcPr>
          <w:p>
            <w:pPr>
              <w:spacing w:line="40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400" w:lineRule="exact"/>
              <w:jc w:val="both"/>
              <w:rPr>
                <w:rFonts w:ascii="新宋体" w:hAnsi="新宋体" w:eastAsia="文星仿宋"/>
                <w:b/>
                <w:sz w:val="24"/>
                <w:szCs w:val="24"/>
              </w:rPr>
            </w:pPr>
            <w:r>
              <w:rPr>
                <w:rFonts w:hint="eastAsia" w:ascii="新宋体" w:hAnsi="新宋体" w:eastAsia="文星仿宋"/>
                <w:b/>
                <w:sz w:val="24"/>
                <w:szCs w:val="24"/>
                <w:lang w:val="en-US"/>
              </w:rPr>
              <w:t>区教育和体育局</w:t>
            </w:r>
          </w:p>
        </w:tc>
        <w:tc>
          <w:tcPr>
            <w:tcW w:w="2069" w:type="dxa"/>
            <w:vAlign w:val="center"/>
          </w:tcPr>
          <w:p>
            <w:pPr>
              <w:spacing w:line="400" w:lineRule="exact"/>
              <w:jc w:val="both"/>
              <w:rPr>
                <w:rFonts w:ascii="新宋体" w:hAnsi="新宋体" w:eastAsia="文星仿宋"/>
                <w:b/>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688" w:hRule="atLeast"/>
          <w:jc w:val="center"/>
        </w:trPr>
        <w:tc>
          <w:tcPr>
            <w:tcW w:w="627" w:type="dxa"/>
            <w:vAlign w:val="center"/>
          </w:tcPr>
          <w:p>
            <w:pPr>
              <w:spacing w:line="40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34</w:t>
            </w:r>
          </w:p>
        </w:tc>
        <w:tc>
          <w:tcPr>
            <w:tcW w:w="1337" w:type="dxa"/>
            <w:vMerge w:val="continue"/>
            <w:vAlign w:val="center"/>
          </w:tcPr>
          <w:p>
            <w:pPr>
              <w:spacing w:line="400" w:lineRule="exact"/>
              <w:jc w:val="both"/>
              <w:rPr>
                <w:rFonts w:ascii="新宋体" w:hAnsi="新宋体" w:eastAsia="文星仿宋"/>
                <w:b/>
                <w:sz w:val="24"/>
                <w:szCs w:val="24"/>
              </w:rPr>
            </w:pPr>
          </w:p>
        </w:tc>
        <w:tc>
          <w:tcPr>
            <w:tcW w:w="6173" w:type="dxa"/>
            <w:vAlign w:val="center"/>
          </w:tcPr>
          <w:p>
            <w:pPr>
              <w:pStyle w:val="16"/>
              <w:spacing w:line="400" w:lineRule="exact"/>
              <w:jc w:val="both"/>
              <w:rPr>
                <w:rFonts w:ascii="新宋体" w:hAnsi="新宋体" w:eastAsia="文星仿宋"/>
                <w:b/>
                <w:sz w:val="24"/>
                <w:szCs w:val="24"/>
              </w:rPr>
            </w:pPr>
            <w:r>
              <w:rPr>
                <w:rFonts w:hint="eastAsia" w:ascii="新宋体" w:hAnsi="新宋体" w:eastAsia="文星仿宋"/>
                <w:b/>
                <w:sz w:val="24"/>
                <w:szCs w:val="24"/>
              </w:rPr>
              <w:t>每年分期分批组织全市科技创业孵化载体运营管理人员，开展科技创业创新政策、业务知识培训，提升载体运营管理人员政策理论水平、业务知识能力和孵化服务效率。</w:t>
            </w:r>
          </w:p>
        </w:tc>
        <w:tc>
          <w:tcPr>
            <w:tcW w:w="1559" w:type="dxa"/>
            <w:vAlign w:val="center"/>
          </w:tcPr>
          <w:p>
            <w:pPr>
              <w:spacing w:line="40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400" w:lineRule="exact"/>
              <w:jc w:val="both"/>
              <w:rPr>
                <w:rFonts w:ascii="新宋体" w:hAnsi="新宋体" w:eastAsia="文星仿宋"/>
                <w:b/>
                <w:sz w:val="24"/>
                <w:szCs w:val="24"/>
              </w:rPr>
            </w:pPr>
            <w:r>
              <w:rPr>
                <w:rFonts w:hint="eastAsia" w:ascii="新宋体" w:hAnsi="新宋体" w:eastAsia="文星仿宋"/>
                <w:b/>
                <w:sz w:val="24"/>
                <w:szCs w:val="24"/>
                <w:lang w:val="en-US"/>
              </w:rPr>
              <w:t>区工业和信息化局</w:t>
            </w:r>
          </w:p>
        </w:tc>
        <w:tc>
          <w:tcPr>
            <w:tcW w:w="2069" w:type="dxa"/>
            <w:vAlign w:val="center"/>
          </w:tcPr>
          <w:p>
            <w:pPr>
              <w:spacing w:line="400" w:lineRule="exact"/>
              <w:jc w:val="both"/>
              <w:rPr>
                <w:rFonts w:ascii="新宋体" w:hAnsi="新宋体" w:eastAsia="文星仿宋"/>
                <w:b/>
                <w:sz w:val="24"/>
                <w:szCs w:val="24"/>
              </w:rPr>
            </w:pPr>
            <w:r>
              <w:rPr>
                <w:rFonts w:hint="eastAsia" w:ascii="新宋体" w:hAnsi="新宋体" w:eastAsia="文星仿宋"/>
                <w:b/>
                <w:sz w:val="24"/>
                <w:szCs w:val="24"/>
                <w:lang w:val="en-US"/>
              </w:rPr>
              <w:t>区教育和体育局</w:t>
            </w:r>
            <w:r>
              <w:rPr>
                <w:rFonts w:hint="eastAsia" w:ascii="新宋体" w:hAnsi="新宋体" w:eastAsia="文星仿宋"/>
                <w:b/>
                <w:sz w:val="24"/>
                <w:szCs w:val="24"/>
              </w:rPr>
              <w:t>、</w:t>
            </w:r>
            <w:r>
              <w:rPr>
                <w:rFonts w:hint="eastAsia" w:ascii="新宋体" w:hAnsi="新宋体" w:eastAsia="文星仿宋"/>
                <w:b/>
                <w:sz w:val="24"/>
                <w:szCs w:val="24"/>
                <w:lang w:val="en-US"/>
              </w:rPr>
              <w:t>区工业和信息化局</w:t>
            </w:r>
            <w:r>
              <w:rPr>
                <w:rFonts w:hint="eastAsia" w:ascii="新宋体" w:hAnsi="新宋体" w:eastAsia="文星仿宋"/>
                <w:b/>
                <w:sz w:val="24"/>
                <w:szCs w:val="24"/>
              </w:rPr>
              <w:t>、</w:t>
            </w:r>
            <w:r>
              <w:rPr>
                <w:rFonts w:hint="eastAsia" w:ascii="新宋体" w:hAnsi="新宋体" w:eastAsia="文星仿宋"/>
                <w:b/>
                <w:sz w:val="24"/>
                <w:szCs w:val="24"/>
                <w:lang w:val="en-US"/>
              </w:rPr>
              <w:t>区人力资源社会保障局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103" w:hRule="atLeast"/>
          <w:jc w:val="center"/>
        </w:trPr>
        <w:tc>
          <w:tcPr>
            <w:tcW w:w="627" w:type="dxa"/>
            <w:vAlign w:val="center"/>
          </w:tcPr>
          <w:p>
            <w:pPr>
              <w:spacing w:line="40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35</w:t>
            </w:r>
          </w:p>
        </w:tc>
        <w:tc>
          <w:tcPr>
            <w:tcW w:w="1337" w:type="dxa"/>
            <w:vMerge w:val="continue"/>
            <w:vAlign w:val="center"/>
          </w:tcPr>
          <w:p>
            <w:pPr>
              <w:spacing w:line="400" w:lineRule="exact"/>
              <w:jc w:val="both"/>
              <w:rPr>
                <w:rFonts w:ascii="新宋体" w:hAnsi="新宋体" w:eastAsia="文星仿宋"/>
                <w:b/>
                <w:sz w:val="24"/>
                <w:szCs w:val="24"/>
              </w:rPr>
            </w:pPr>
          </w:p>
        </w:tc>
        <w:tc>
          <w:tcPr>
            <w:tcW w:w="6173" w:type="dxa"/>
            <w:vAlign w:val="center"/>
          </w:tcPr>
          <w:p>
            <w:pPr>
              <w:pStyle w:val="16"/>
              <w:spacing w:line="400" w:lineRule="exact"/>
              <w:jc w:val="both"/>
              <w:rPr>
                <w:rFonts w:ascii="新宋体" w:hAnsi="新宋体" w:eastAsia="文星仿宋"/>
                <w:b/>
                <w:sz w:val="24"/>
                <w:szCs w:val="24"/>
              </w:rPr>
            </w:pPr>
            <w:r>
              <w:rPr>
                <w:rFonts w:hint="eastAsia" w:ascii="新宋体" w:hAnsi="新宋体" w:eastAsia="文星仿宋"/>
                <w:b/>
                <w:sz w:val="24"/>
                <w:szCs w:val="24"/>
              </w:rPr>
              <w:t>全面推行企业技能人才自主评价，实现企业技能人才职业技能等级自主认定。</w:t>
            </w:r>
          </w:p>
        </w:tc>
        <w:tc>
          <w:tcPr>
            <w:tcW w:w="1559" w:type="dxa"/>
            <w:vAlign w:val="center"/>
          </w:tcPr>
          <w:p>
            <w:pPr>
              <w:spacing w:line="400" w:lineRule="exact"/>
              <w:jc w:val="center"/>
              <w:rPr>
                <w:rFonts w:ascii="新宋体" w:hAnsi="新宋体" w:eastAsia="文星仿宋"/>
                <w:b/>
                <w:sz w:val="24"/>
                <w:szCs w:val="24"/>
              </w:rPr>
            </w:pPr>
            <w:r>
              <w:rPr>
                <w:rFonts w:hint="eastAsia" w:ascii="新宋体" w:hAnsi="新宋体" w:eastAsia="文星仿宋"/>
                <w:b/>
                <w:sz w:val="24"/>
                <w:szCs w:val="24"/>
              </w:rPr>
              <w:t>2023年年底</w:t>
            </w:r>
          </w:p>
        </w:tc>
        <w:tc>
          <w:tcPr>
            <w:tcW w:w="1843" w:type="dxa"/>
            <w:vAlign w:val="center"/>
          </w:tcPr>
          <w:p>
            <w:pPr>
              <w:spacing w:line="400" w:lineRule="exact"/>
              <w:jc w:val="both"/>
              <w:rPr>
                <w:rFonts w:ascii="新宋体" w:hAnsi="新宋体" w:eastAsia="文星仿宋"/>
                <w:b/>
                <w:sz w:val="24"/>
                <w:szCs w:val="24"/>
              </w:rPr>
            </w:pPr>
            <w:r>
              <w:rPr>
                <w:rFonts w:hint="eastAsia" w:ascii="新宋体" w:hAnsi="新宋体" w:eastAsia="文星仿宋"/>
                <w:b/>
                <w:sz w:val="24"/>
                <w:szCs w:val="24"/>
                <w:lang w:val="en-US"/>
              </w:rPr>
              <w:t>区人力资源社会保障局</w:t>
            </w:r>
          </w:p>
        </w:tc>
        <w:tc>
          <w:tcPr>
            <w:tcW w:w="2069" w:type="dxa"/>
            <w:vAlign w:val="center"/>
          </w:tcPr>
          <w:p>
            <w:pPr>
              <w:spacing w:line="400" w:lineRule="exact"/>
              <w:jc w:val="both"/>
              <w:rPr>
                <w:rFonts w:ascii="新宋体" w:hAnsi="新宋体" w:eastAsia="文星仿宋"/>
                <w:b/>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133" w:hRule="atLeast"/>
          <w:jc w:val="center"/>
        </w:trPr>
        <w:tc>
          <w:tcPr>
            <w:tcW w:w="627" w:type="dxa"/>
            <w:vAlign w:val="center"/>
          </w:tcPr>
          <w:p>
            <w:pPr>
              <w:spacing w:line="40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36</w:t>
            </w:r>
          </w:p>
        </w:tc>
        <w:tc>
          <w:tcPr>
            <w:tcW w:w="1337" w:type="dxa"/>
            <w:vMerge w:val="continue"/>
            <w:vAlign w:val="center"/>
          </w:tcPr>
          <w:p>
            <w:pPr>
              <w:spacing w:line="400" w:lineRule="exact"/>
              <w:jc w:val="both"/>
              <w:rPr>
                <w:rFonts w:ascii="新宋体" w:hAnsi="新宋体" w:eastAsia="文星仿宋"/>
                <w:b/>
                <w:sz w:val="24"/>
                <w:szCs w:val="24"/>
              </w:rPr>
            </w:pPr>
          </w:p>
        </w:tc>
        <w:tc>
          <w:tcPr>
            <w:tcW w:w="6173" w:type="dxa"/>
            <w:vAlign w:val="center"/>
          </w:tcPr>
          <w:p>
            <w:pPr>
              <w:spacing w:line="400" w:lineRule="exact"/>
              <w:jc w:val="both"/>
              <w:rPr>
                <w:rFonts w:ascii="新宋体" w:hAnsi="新宋体" w:eastAsia="文星仿宋"/>
                <w:b/>
                <w:sz w:val="24"/>
                <w:szCs w:val="24"/>
              </w:rPr>
            </w:pPr>
            <w:r>
              <w:rPr>
                <w:rFonts w:hint="eastAsia" w:ascii="新宋体" w:hAnsi="新宋体" w:eastAsia="文星仿宋"/>
                <w:b/>
                <w:sz w:val="24"/>
                <w:szCs w:val="24"/>
              </w:rPr>
              <w:t>建立健全人才动态评价及结果应用体系，完善人才奖励、政策性退出和失信惩戒机制。</w:t>
            </w:r>
          </w:p>
        </w:tc>
        <w:tc>
          <w:tcPr>
            <w:tcW w:w="1559" w:type="dxa"/>
            <w:vAlign w:val="center"/>
          </w:tcPr>
          <w:p>
            <w:pPr>
              <w:spacing w:line="400" w:lineRule="exact"/>
              <w:jc w:val="center"/>
              <w:rPr>
                <w:rFonts w:ascii="新宋体" w:hAnsi="新宋体" w:eastAsia="文星仿宋"/>
                <w:b/>
                <w:sz w:val="24"/>
                <w:szCs w:val="24"/>
              </w:rPr>
            </w:pPr>
            <w:r>
              <w:rPr>
                <w:rFonts w:hint="eastAsia" w:ascii="新宋体" w:hAnsi="新宋体" w:eastAsia="文星仿宋"/>
                <w:b/>
                <w:sz w:val="24"/>
                <w:szCs w:val="24"/>
              </w:rPr>
              <w:t>“十四五”末</w:t>
            </w:r>
          </w:p>
        </w:tc>
        <w:tc>
          <w:tcPr>
            <w:tcW w:w="1843" w:type="dxa"/>
            <w:vAlign w:val="center"/>
          </w:tcPr>
          <w:p>
            <w:pPr>
              <w:spacing w:line="400" w:lineRule="exact"/>
              <w:jc w:val="both"/>
              <w:rPr>
                <w:rFonts w:ascii="新宋体" w:hAnsi="新宋体" w:eastAsia="文星仿宋"/>
                <w:b/>
                <w:sz w:val="24"/>
                <w:szCs w:val="24"/>
              </w:rPr>
            </w:pPr>
            <w:r>
              <w:rPr>
                <w:rFonts w:hint="eastAsia" w:ascii="新宋体" w:hAnsi="新宋体" w:eastAsia="文星仿宋"/>
                <w:b/>
                <w:sz w:val="24"/>
                <w:szCs w:val="24"/>
                <w:lang w:val="en-US"/>
              </w:rPr>
              <w:t>区人力资源社会保障局</w:t>
            </w:r>
          </w:p>
        </w:tc>
        <w:tc>
          <w:tcPr>
            <w:tcW w:w="2069" w:type="dxa"/>
            <w:vAlign w:val="center"/>
          </w:tcPr>
          <w:p>
            <w:pPr>
              <w:spacing w:line="400" w:lineRule="exact"/>
              <w:jc w:val="both"/>
              <w:rPr>
                <w:rFonts w:ascii="新宋体" w:hAnsi="新宋体" w:eastAsia="文星仿宋"/>
                <w:b/>
                <w:sz w:val="24"/>
                <w:szCs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611" w:hRule="atLeast"/>
          <w:jc w:val="center"/>
        </w:trPr>
        <w:tc>
          <w:tcPr>
            <w:tcW w:w="13608" w:type="dxa"/>
            <w:gridSpan w:val="6"/>
            <w:vAlign w:val="center"/>
          </w:tcPr>
          <w:p>
            <w:pPr>
              <w:tabs>
                <w:tab w:val="left" w:pos="809"/>
              </w:tabs>
              <w:spacing w:line="400" w:lineRule="exact"/>
              <w:jc w:val="both"/>
              <w:rPr>
                <w:rFonts w:ascii="新宋体" w:hAnsi="新宋体" w:eastAsia="黑体"/>
                <w:b/>
                <w:sz w:val="24"/>
                <w:szCs w:val="24"/>
              </w:rPr>
            </w:pPr>
            <w:r>
              <w:rPr>
                <w:rFonts w:hint="eastAsia" w:ascii="新宋体" w:hAnsi="新宋体" w:eastAsia="黑体"/>
                <w:b/>
                <w:sz w:val="24"/>
                <w:szCs w:val="24"/>
              </w:rPr>
              <w:t>七、加强“双创”文化建设，打造蓬勃“双创”生态。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1683" w:hRule="atLeast"/>
          <w:jc w:val="center"/>
        </w:trPr>
        <w:tc>
          <w:tcPr>
            <w:tcW w:w="627" w:type="dxa"/>
            <w:vAlign w:val="center"/>
          </w:tcPr>
          <w:p>
            <w:pPr>
              <w:spacing w:line="34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37</w:t>
            </w:r>
          </w:p>
        </w:tc>
        <w:tc>
          <w:tcPr>
            <w:tcW w:w="1337" w:type="dxa"/>
            <w:vMerge w:val="restart"/>
            <w:vAlign w:val="center"/>
          </w:tcPr>
          <w:p>
            <w:pPr>
              <w:spacing w:line="340" w:lineRule="exact"/>
              <w:jc w:val="both"/>
              <w:rPr>
                <w:rFonts w:ascii="新宋体" w:hAnsi="新宋体" w:eastAsia="文星仿宋"/>
                <w:b/>
                <w:sz w:val="24"/>
                <w:szCs w:val="24"/>
              </w:rPr>
            </w:pPr>
            <w:r>
              <w:rPr>
                <w:rFonts w:hint="eastAsia" w:ascii="新宋体" w:hAnsi="新宋体" w:eastAsia="文星仿宋"/>
                <w:b/>
                <w:sz w:val="24"/>
                <w:szCs w:val="24"/>
              </w:rPr>
              <w:t>（</w:t>
            </w:r>
            <w:r>
              <w:rPr>
                <w:rFonts w:hint="eastAsia" w:ascii="新宋体" w:hAnsi="新宋体" w:eastAsia="文星仿宋"/>
                <w:b/>
                <w:sz w:val="24"/>
                <w:szCs w:val="24"/>
                <w:lang w:val="en-US"/>
              </w:rPr>
              <w:t>19</w:t>
            </w:r>
            <w:r>
              <w:rPr>
                <w:rFonts w:hint="eastAsia" w:ascii="新宋体" w:hAnsi="新宋体" w:eastAsia="文星仿宋"/>
                <w:b/>
                <w:sz w:val="24"/>
                <w:szCs w:val="24"/>
              </w:rPr>
              <w:t>）搞好“双创”政策宣讲。</w:t>
            </w:r>
          </w:p>
        </w:tc>
        <w:tc>
          <w:tcPr>
            <w:tcW w:w="6173" w:type="dxa"/>
            <w:vAlign w:val="center"/>
          </w:tcPr>
          <w:p>
            <w:pPr>
              <w:pStyle w:val="16"/>
              <w:spacing w:line="340" w:lineRule="exact"/>
              <w:jc w:val="both"/>
              <w:rPr>
                <w:rFonts w:ascii="新宋体" w:hAnsi="新宋体" w:eastAsia="文星仿宋"/>
                <w:b/>
                <w:sz w:val="24"/>
                <w:szCs w:val="24"/>
              </w:rPr>
            </w:pPr>
            <w:r>
              <w:rPr>
                <w:rFonts w:hint="eastAsia" w:ascii="新宋体" w:hAnsi="新宋体" w:eastAsia="文星仿宋"/>
                <w:b/>
                <w:sz w:val="24"/>
                <w:szCs w:val="24"/>
              </w:rPr>
              <w:t>举办“双创”政策集中宣传活动，宣传创业创新相关扶持及优惠政策，提高广大群众的知晓率和参与度。开展“双创”政策宣传，对创业补贴、创业融资等系列优惠政策进行解读。</w:t>
            </w:r>
          </w:p>
        </w:tc>
        <w:tc>
          <w:tcPr>
            <w:tcW w:w="1559" w:type="dxa"/>
            <w:vAlign w:val="center"/>
          </w:tcPr>
          <w:p>
            <w:pPr>
              <w:spacing w:line="34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340" w:lineRule="exact"/>
              <w:jc w:val="both"/>
              <w:rPr>
                <w:rFonts w:ascii="新宋体" w:hAnsi="新宋体" w:eastAsia="文星仿宋"/>
                <w:b/>
                <w:sz w:val="24"/>
                <w:szCs w:val="24"/>
              </w:rPr>
            </w:pPr>
            <w:r>
              <w:rPr>
                <w:rFonts w:hint="eastAsia" w:ascii="新宋体" w:hAnsi="新宋体" w:eastAsia="文星仿宋"/>
                <w:b/>
                <w:sz w:val="24"/>
                <w:szCs w:val="24"/>
              </w:rPr>
              <w:t>区发展改革局（区地方金融监管局）、区教育和体育局、区工业和信息化局、区人力资源社会保障局、区科协</w:t>
            </w:r>
          </w:p>
        </w:tc>
        <w:tc>
          <w:tcPr>
            <w:tcW w:w="2069" w:type="dxa"/>
            <w:vAlign w:val="center"/>
          </w:tcPr>
          <w:p>
            <w:pPr>
              <w:spacing w:line="340" w:lineRule="exact"/>
              <w:jc w:val="both"/>
              <w:rPr>
                <w:rFonts w:ascii="新宋体" w:hAnsi="新宋体" w:eastAsia="文星仿宋"/>
                <w:b/>
                <w:color w:val="000000" w:themeColor="text1"/>
                <w:sz w:val="24"/>
                <w:szCs w:val="24"/>
                <w:lang w:val="en-US"/>
              </w:rPr>
            </w:pPr>
            <w:r>
              <w:rPr>
                <w:rFonts w:hint="eastAsia" w:ascii="新宋体" w:hAnsi="新宋体" w:eastAsia="文星仿宋"/>
                <w:b/>
                <w:color w:val="000000" w:themeColor="text1"/>
                <w:sz w:val="24"/>
                <w:szCs w:val="24"/>
                <w:lang w:val="en-US"/>
              </w:rPr>
              <w:t>各街道、功能区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627" w:type="dxa"/>
            <w:vAlign w:val="center"/>
          </w:tcPr>
          <w:p>
            <w:pPr>
              <w:spacing w:line="34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38</w:t>
            </w:r>
          </w:p>
        </w:tc>
        <w:tc>
          <w:tcPr>
            <w:tcW w:w="1337" w:type="dxa"/>
            <w:vMerge w:val="continue"/>
            <w:vAlign w:val="center"/>
          </w:tcPr>
          <w:p>
            <w:pPr>
              <w:spacing w:line="340" w:lineRule="exact"/>
              <w:jc w:val="both"/>
              <w:rPr>
                <w:rFonts w:ascii="新宋体" w:hAnsi="新宋体" w:eastAsia="文星仿宋"/>
                <w:b/>
                <w:sz w:val="24"/>
                <w:szCs w:val="24"/>
              </w:rPr>
            </w:pPr>
          </w:p>
        </w:tc>
        <w:tc>
          <w:tcPr>
            <w:tcW w:w="6173" w:type="dxa"/>
            <w:vAlign w:val="center"/>
          </w:tcPr>
          <w:p>
            <w:pPr>
              <w:pStyle w:val="16"/>
              <w:spacing w:line="340" w:lineRule="exact"/>
              <w:jc w:val="both"/>
              <w:rPr>
                <w:rFonts w:ascii="新宋体" w:hAnsi="新宋体" w:eastAsia="文星仿宋"/>
                <w:b/>
                <w:sz w:val="24"/>
                <w:szCs w:val="24"/>
              </w:rPr>
            </w:pPr>
            <w:r>
              <w:rPr>
                <w:rFonts w:hint="eastAsia" w:ascii="新宋体" w:hAnsi="新宋体" w:eastAsia="文星仿宋"/>
                <w:b/>
                <w:sz w:val="24"/>
                <w:szCs w:val="24"/>
              </w:rPr>
              <w:t>通过电视、网络等多媒体手段，宣传创业创新相关政策，总结推广典型经验，让现有的“双创”主体增强信心、用好政策，让潜在的“双创”主体有榜样学习、有经验借鉴。在全社会营造浓厚的创业创新氛围。</w:t>
            </w:r>
          </w:p>
        </w:tc>
        <w:tc>
          <w:tcPr>
            <w:tcW w:w="1559" w:type="dxa"/>
            <w:vAlign w:val="center"/>
          </w:tcPr>
          <w:p>
            <w:pPr>
              <w:spacing w:line="34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340" w:lineRule="exact"/>
              <w:jc w:val="both"/>
              <w:rPr>
                <w:rFonts w:ascii="新宋体" w:hAnsi="新宋体" w:eastAsia="文星仿宋"/>
                <w:b/>
                <w:sz w:val="24"/>
                <w:szCs w:val="24"/>
              </w:rPr>
            </w:pPr>
            <w:r>
              <w:rPr>
                <w:rFonts w:hint="eastAsia" w:ascii="新宋体" w:hAnsi="新宋体" w:eastAsia="文星仿宋"/>
                <w:b/>
                <w:sz w:val="24"/>
                <w:szCs w:val="24"/>
              </w:rPr>
              <w:t>区发展改革局（区地方金融监管局）、区教育和体育局、区工业和信息化局、区人力资源社会保障局、区科协</w:t>
            </w:r>
          </w:p>
        </w:tc>
        <w:tc>
          <w:tcPr>
            <w:tcW w:w="2069" w:type="dxa"/>
            <w:vAlign w:val="center"/>
          </w:tcPr>
          <w:p>
            <w:pPr>
              <w:spacing w:line="340" w:lineRule="exact"/>
              <w:jc w:val="both"/>
              <w:rPr>
                <w:rFonts w:ascii="新宋体" w:hAnsi="新宋体" w:eastAsia="文星仿宋"/>
                <w:b/>
                <w:color w:val="000000" w:themeColor="text1"/>
                <w:sz w:val="24"/>
                <w:szCs w:val="24"/>
                <w:lang w:val="en-US"/>
              </w:rPr>
            </w:pPr>
            <w:r>
              <w:rPr>
                <w:rFonts w:hint="eastAsia" w:ascii="新宋体" w:hAnsi="新宋体" w:eastAsia="文星仿宋"/>
                <w:b/>
                <w:color w:val="000000" w:themeColor="text1"/>
                <w:sz w:val="24"/>
                <w:szCs w:val="24"/>
                <w:lang w:val="en-US"/>
              </w:rPr>
              <w:t>各街道、功能区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627" w:type="dxa"/>
            <w:vAlign w:val="center"/>
          </w:tcPr>
          <w:p>
            <w:pPr>
              <w:spacing w:line="34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39</w:t>
            </w:r>
          </w:p>
        </w:tc>
        <w:tc>
          <w:tcPr>
            <w:tcW w:w="1337" w:type="dxa"/>
            <w:vMerge w:val="restart"/>
            <w:vAlign w:val="center"/>
          </w:tcPr>
          <w:p>
            <w:pPr>
              <w:spacing w:line="340" w:lineRule="exact"/>
              <w:jc w:val="both"/>
              <w:rPr>
                <w:rFonts w:ascii="新宋体" w:hAnsi="新宋体" w:eastAsia="文星仿宋"/>
                <w:b/>
                <w:sz w:val="24"/>
                <w:szCs w:val="24"/>
              </w:rPr>
            </w:pPr>
            <w:r>
              <w:rPr>
                <w:rFonts w:hint="eastAsia" w:ascii="新宋体" w:hAnsi="新宋体" w:eastAsia="文星仿宋"/>
                <w:b/>
                <w:sz w:val="24"/>
                <w:szCs w:val="24"/>
              </w:rPr>
              <w:t>（2</w:t>
            </w:r>
            <w:r>
              <w:rPr>
                <w:rFonts w:hint="eastAsia" w:ascii="新宋体" w:hAnsi="新宋体" w:eastAsia="文星仿宋"/>
                <w:b/>
                <w:sz w:val="24"/>
                <w:szCs w:val="24"/>
                <w:lang w:val="en-US"/>
              </w:rPr>
              <w:t>0</w:t>
            </w:r>
            <w:r>
              <w:rPr>
                <w:rFonts w:hint="eastAsia" w:ascii="新宋体" w:hAnsi="新宋体" w:eastAsia="文星仿宋"/>
                <w:b/>
                <w:sz w:val="24"/>
                <w:szCs w:val="24"/>
              </w:rPr>
              <w:t>）开展多样“双创”活动。</w:t>
            </w:r>
          </w:p>
        </w:tc>
        <w:tc>
          <w:tcPr>
            <w:tcW w:w="6173" w:type="dxa"/>
            <w:vAlign w:val="center"/>
          </w:tcPr>
          <w:p>
            <w:pPr>
              <w:spacing w:line="340" w:lineRule="exact"/>
              <w:jc w:val="both"/>
              <w:rPr>
                <w:rFonts w:ascii="新宋体" w:hAnsi="新宋体" w:eastAsia="文星仿宋"/>
                <w:b/>
                <w:sz w:val="24"/>
                <w:szCs w:val="24"/>
              </w:rPr>
            </w:pPr>
            <w:r>
              <w:rPr>
                <w:rFonts w:hint="eastAsia" w:ascii="新宋体" w:hAnsi="新宋体" w:eastAsia="文星仿宋"/>
                <w:b/>
                <w:sz w:val="24"/>
                <w:szCs w:val="24"/>
              </w:rPr>
              <w:t>举办“双创”活动周、创业大赛等创业创新活动，不断激发全社会创业创新热情。</w:t>
            </w:r>
          </w:p>
        </w:tc>
        <w:tc>
          <w:tcPr>
            <w:tcW w:w="1559" w:type="dxa"/>
            <w:vAlign w:val="center"/>
          </w:tcPr>
          <w:p>
            <w:pPr>
              <w:spacing w:line="34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340" w:lineRule="exact"/>
              <w:jc w:val="both"/>
              <w:rPr>
                <w:rFonts w:ascii="新宋体" w:hAnsi="新宋体" w:eastAsia="文星仿宋"/>
                <w:b/>
                <w:sz w:val="24"/>
                <w:szCs w:val="24"/>
              </w:rPr>
            </w:pPr>
            <w:r>
              <w:rPr>
                <w:rFonts w:hint="eastAsia" w:ascii="新宋体" w:hAnsi="新宋体" w:eastAsia="文星仿宋"/>
                <w:b/>
                <w:sz w:val="24"/>
                <w:szCs w:val="24"/>
                <w:lang w:val="en-US"/>
              </w:rPr>
              <w:t>区发展改革局</w:t>
            </w:r>
            <w:r>
              <w:rPr>
                <w:rFonts w:hint="eastAsia" w:ascii="新宋体" w:hAnsi="新宋体" w:eastAsia="文星仿宋"/>
                <w:b/>
                <w:sz w:val="24"/>
                <w:szCs w:val="24"/>
              </w:rPr>
              <w:t>、</w:t>
            </w:r>
            <w:r>
              <w:rPr>
                <w:rFonts w:hint="eastAsia" w:ascii="新宋体" w:hAnsi="新宋体" w:eastAsia="文星仿宋"/>
                <w:b/>
                <w:sz w:val="24"/>
                <w:szCs w:val="24"/>
                <w:lang w:val="en-US"/>
              </w:rPr>
              <w:t>区工业和信息化局</w:t>
            </w:r>
            <w:r>
              <w:rPr>
                <w:rFonts w:hint="eastAsia" w:ascii="新宋体" w:hAnsi="新宋体" w:eastAsia="文星仿宋"/>
                <w:b/>
                <w:sz w:val="24"/>
                <w:szCs w:val="24"/>
              </w:rPr>
              <w:t>、</w:t>
            </w:r>
            <w:r>
              <w:rPr>
                <w:rFonts w:hint="eastAsia" w:ascii="新宋体" w:hAnsi="新宋体" w:eastAsia="文星仿宋"/>
                <w:b/>
                <w:sz w:val="24"/>
                <w:szCs w:val="24"/>
                <w:lang w:val="en-US"/>
              </w:rPr>
              <w:t>区人力资源社会保障局</w:t>
            </w:r>
            <w:r>
              <w:rPr>
                <w:rFonts w:hint="eastAsia" w:ascii="新宋体" w:hAnsi="新宋体" w:eastAsia="文星仿宋"/>
                <w:b/>
                <w:sz w:val="24"/>
                <w:szCs w:val="24"/>
              </w:rPr>
              <w:t>、</w:t>
            </w:r>
            <w:r>
              <w:rPr>
                <w:rFonts w:hint="eastAsia" w:ascii="新宋体" w:hAnsi="新宋体" w:eastAsia="文星仿宋"/>
                <w:b/>
                <w:sz w:val="24"/>
                <w:szCs w:val="24"/>
                <w:lang w:val="en-US"/>
              </w:rPr>
              <w:t>区</w:t>
            </w:r>
            <w:r>
              <w:rPr>
                <w:rFonts w:hint="eastAsia" w:ascii="新宋体" w:hAnsi="新宋体" w:eastAsia="文星仿宋"/>
                <w:b/>
                <w:sz w:val="24"/>
                <w:szCs w:val="24"/>
              </w:rPr>
              <w:t>科协</w:t>
            </w:r>
          </w:p>
        </w:tc>
        <w:tc>
          <w:tcPr>
            <w:tcW w:w="2069" w:type="dxa"/>
            <w:vAlign w:val="center"/>
          </w:tcPr>
          <w:p>
            <w:pPr>
              <w:spacing w:line="340" w:lineRule="exact"/>
              <w:jc w:val="both"/>
              <w:rPr>
                <w:rFonts w:ascii="新宋体" w:hAnsi="新宋体" w:eastAsia="文星仿宋"/>
                <w:b/>
                <w:sz w:val="24"/>
                <w:szCs w:val="24"/>
              </w:rPr>
            </w:pPr>
            <w:r>
              <w:rPr>
                <w:rFonts w:hint="eastAsia" w:ascii="新宋体" w:hAnsi="新宋体" w:eastAsia="文星仿宋"/>
                <w:b/>
                <w:sz w:val="24"/>
                <w:szCs w:val="24"/>
              </w:rPr>
              <w:t>活动参与单位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627" w:type="dxa"/>
            <w:vAlign w:val="center"/>
          </w:tcPr>
          <w:p>
            <w:pPr>
              <w:spacing w:line="34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40</w:t>
            </w:r>
          </w:p>
        </w:tc>
        <w:tc>
          <w:tcPr>
            <w:tcW w:w="1337" w:type="dxa"/>
            <w:vMerge w:val="continue"/>
            <w:vAlign w:val="center"/>
          </w:tcPr>
          <w:p>
            <w:pPr>
              <w:spacing w:line="340" w:lineRule="exact"/>
              <w:jc w:val="both"/>
              <w:rPr>
                <w:rFonts w:ascii="新宋体" w:hAnsi="新宋体" w:eastAsia="文星仿宋"/>
                <w:b/>
                <w:sz w:val="24"/>
                <w:szCs w:val="24"/>
              </w:rPr>
            </w:pPr>
          </w:p>
        </w:tc>
        <w:tc>
          <w:tcPr>
            <w:tcW w:w="6173" w:type="dxa"/>
            <w:vAlign w:val="center"/>
          </w:tcPr>
          <w:p>
            <w:pPr>
              <w:pStyle w:val="16"/>
              <w:spacing w:line="340" w:lineRule="exact"/>
              <w:jc w:val="both"/>
              <w:rPr>
                <w:rFonts w:ascii="新宋体" w:hAnsi="新宋体" w:eastAsia="文星仿宋"/>
                <w:b/>
                <w:sz w:val="24"/>
                <w:szCs w:val="24"/>
              </w:rPr>
            </w:pPr>
            <w:r>
              <w:rPr>
                <w:rFonts w:hint="eastAsia" w:ascii="新宋体" w:hAnsi="新宋体" w:eastAsia="文星仿宋"/>
                <w:b/>
                <w:sz w:val="24"/>
                <w:szCs w:val="24"/>
              </w:rPr>
              <w:t>实施返乡入乡创业带头人培育行动，培养一批具有发展潜力和带头示范作用的返乡入乡创业人员。开展创业创新巾帼行动，鼓励妇女创业创新。</w:t>
            </w:r>
          </w:p>
        </w:tc>
        <w:tc>
          <w:tcPr>
            <w:tcW w:w="1559" w:type="dxa"/>
            <w:vAlign w:val="center"/>
          </w:tcPr>
          <w:p>
            <w:pPr>
              <w:spacing w:line="34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340" w:lineRule="exact"/>
              <w:jc w:val="both"/>
              <w:rPr>
                <w:rFonts w:ascii="新宋体" w:hAnsi="新宋体" w:eastAsia="文星仿宋"/>
                <w:b/>
                <w:sz w:val="24"/>
                <w:szCs w:val="24"/>
              </w:rPr>
            </w:pPr>
            <w:r>
              <w:rPr>
                <w:rFonts w:hint="eastAsia" w:ascii="新宋体" w:hAnsi="新宋体" w:eastAsia="文星仿宋"/>
                <w:b/>
                <w:sz w:val="24"/>
                <w:szCs w:val="24"/>
                <w:lang w:val="en-US"/>
              </w:rPr>
              <w:t>区人力资源社会保障局</w:t>
            </w:r>
          </w:p>
        </w:tc>
        <w:tc>
          <w:tcPr>
            <w:tcW w:w="2069" w:type="dxa"/>
            <w:vAlign w:val="center"/>
          </w:tcPr>
          <w:p>
            <w:pPr>
              <w:spacing w:line="340" w:lineRule="exact"/>
              <w:jc w:val="both"/>
              <w:rPr>
                <w:rFonts w:ascii="新宋体" w:hAnsi="新宋体" w:eastAsia="文星仿宋"/>
                <w:b/>
                <w:sz w:val="24"/>
                <w:szCs w:val="24"/>
              </w:rPr>
            </w:pPr>
            <w:r>
              <w:rPr>
                <w:rFonts w:hint="eastAsia" w:ascii="新宋体" w:hAnsi="新宋体" w:eastAsia="文星仿宋"/>
                <w:b/>
                <w:sz w:val="24"/>
                <w:szCs w:val="24"/>
                <w:lang w:val="en-US"/>
              </w:rPr>
              <w:t>区</w:t>
            </w:r>
            <w:r>
              <w:rPr>
                <w:rFonts w:hint="eastAsia" w:ascii="新宋体" w:hAnsi="新宋体" w:eastAsia="文星仿宋"/>
                <w:b/>
                <w:sz w:val="24"/>
                <w:szCs w:val="24"/>
              </w:rPr>
              <w:t>农业农村局</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2043" w:hRule="atLeast"/>
          <w:jc w:val="center"/>
        </w:trPr>
        <w:tc>
          <w:tcPr>
            <w:tcW w:w="627" w:type="dxa"/>
            <w:vAlign w:val="center"/>
          </w:tcPr>
          <w:p>
            <w:pPr>
              <w:spacing w:line="360" w:lineRule="exact"/>
              <w:jc w:val="center"/>
              <w:rPr>
                <w:rFonts w:ascii="新宋体" w:hAnsi="新宋体" w:eastAsia="文星仿宋"/>
                <w:b/>
                <w:sz w:val="24"/>
                <w:szCs w:val="24"/>
                <w:lang w:val="en-US"/>
              </w:rPr>
            </w:pPr>
            <w:r>
              <w:rPr>
                <w:rFonts w:hint="eastAsia" w:ascii="新宋体" w:hAnsi="新宋体" w:eastAsia="文星仿宋"/>
                <w:b/>
                <w:sz w:val="24"/>
                <w:szCs w:val="24"/>
                <w:lang w:val="en-US"/>
              </w:rPr>
              <w:t>41</w:t>
            </w:r>
          </w:p>
        </w:tc>
        <w:tc>
          <w:tcPr>
            <w:tcW w:w="1337"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rPr>
              <w:t>（2</w:t>
            </w:r>
            <w:r>
              <w:rPr>
                <w:rFonts w:hint="eastAsia" w:ascii="新宋体" w:hAnsi="新宋体" w:eastAsia="文星仿宋"/>
                <w:b/>
                <w:sz w:val="24"/>
                <w:szCs w:val="24"/>
                <w:lang w:val="en-US"/>
              </w:rPr>
              <w:t>1</w:t>
            </w:r>
            <w:r>
              <w:rPr>
                <w:rFonts w:hint="eastAsia" w:ascii="新宋体" w:hAnsi="新宋体" w:eastAsia="文星仿宋"/>
                <w:b/>
                <w:sz w:val="24"/>
                <w:szCs w:val="24"/>
              </w:rPr>
              <w:t>）打造“双创”品牌。</w:t>
            </w:r>
          </w:p>
        </w:tc>
        <w:tc>
          <w:tcPr>
            <w:tcW w:w="6173" w:type="dxa"/>
            <w:vAlign w:val="center"/>
          </w:tcPr>
          <w:p>
            <w:pPr>
              <w:pStyle w:val="16"/>
              <w:spacing w:line="360" w:lineRule="exact"/>
              <w:jc w:val="both"/>
              <w:rPr>
                <w:rFonts w:ascii="新宋体" w:hAnsi="新宋体" w:eastAsia="文星仿宋"/>
                <w:b/>
                <w:sz w:val="24"/>
                <w:szCs w:val="24"/>
              </w:rPr>
            </w:pPr>
            <w:r>
              <w:rPr>
                <w:rFonts w:hint="eastAsia" w:ascii="新宋体" w:hAnsi="新宋体" w:eastAsia="文星仿宋"/>
                <w:b/>
                <w:sz w:val="24"/>
                <w:szCs w:val="24"/>
              </w:rPr>
              <w:t>大力弘扬“善于创新，勇于创业”的“双创”精神，构建具有济南特色的“创新引领、尊重知识、追求卓越、人才为重”的“双创”文化氛围，树立坚韧不拔的企业家形象，形成“尊重创业精神、宽容创业失败”的宽松创业环境，激发大众的创业创新热情。</w:t>
            </w:r>
          </w:p>
        </w:tc>
        <w:tc>
          <w:tcPr>
            <w:tcW w:w="1559" w:type="dxa"/>
            <w:vAlign w:val="center"/>
          </w:tcPr>
          <w:p>
            <w:pPr>
              <w:spacing w:line="360" w:lineRule="exact"/>
              <w:jc w:val="center"/>
              <w:rPr>
                <w:rFonts w:ascii="新宋体" w:hAnsi="新宋体" w:eastAsia="文星仿宋"/>
                <w:b/>
                <w:sz w:val="24"/>
                <w:szCs w:val="24"/>
              </w:rPr>
            </w:pPr>
            <w:r>
              <w:rPr>
                <w:rFonts w:hint="eastAsia" w:ascii="新宋体" w:hAnsi="新宋体" w:eastAsia="文星仿宋"/>
                <w:b/>
                <w:sz w:val="24"/>
                <w:szCs w:val="24"/>
              </w:rPr>
              <w:t>长期</w:t>
            </w:r>
          </w:p>
        </w:tc>
        <w:tc>
          <w:tcPr>
            <w:tcW w:w="1843" w:type="dxa"/>
            <w:vAlign w:val="center"/>
          </w:tcPr>
          <w:p>
            <w:pPr>
              <w:spacing w:line="360" w:lineRule="exact"/>
              <w:jc w:val="both"/>
              <w:rPr>
                <w:rFonts w:ascii="新宋体" w:hAnsi="新宋体" w:eastAsia="文星仿宋"/>
                <w:b/>
                <w:sz w:val="24"/>
                <w:szCs w:val="24"/>
              </w:rPr>
            </w:pPr>
            <w:r>
              <w:rPr>
                <w:rFonts w:hint="eastAsia" w:ascii="新宋体" w:hAnsi="新宋体" w:eastAsia="文星仿宋"/>
                <w:b/>
                <w:sz w:val="24"/>
                <w:szCs w:val="24"/>
                <w:lang w:val="en-US"/>
              </w:rPr>
              <w:t>区</w:t>
            </w:r>
            <w:r>
              <w:rPr>
                <w:rFonts w:hint="eastAsia" w:ascii="新宋体" w:hAnsi="新宋体" w:eastAsia="文星仿宋"/>
                <w:b/>
                <w:sz w:val="24"/>
                <w:szCs w:val="24"/>
              </w:rPr>
              <w:t>“双创”工作联席会议成员单位</w:t>
            </w:r>
          </w:p>
        </w:tc>
        <w:tc>
          <w:tcPr>
            <w:tcW w:w="2069" w:type="dxa"/>
            <w:vAlign w:val="center"/>
          </w:tcPr>
          <w:p>
            <w:pPr>
              <w:spacing w:line="360" w:lineRule="exact"/>
              <w:jc w:val="both"/>
              <w:rPr>
                <w:rFonts w:ascii="新宋体" w:hAnsi="新宋体" w:eastAsia="文星仿宋"/>
                <w:b/>
                <w:sz w:val="24"/>
                <w:szCs w:val="24"/>
              </w:rPr>
            </w:pPr>
          </w:p>
        </w:tc>
      </w:tr>
    </w:tbl>
    <w:p>
      <w:pPr>
        <w:pStyle w:val="5"/>
        <w:spacing w:line="600" w:lineRule="exact"/>
        <w:rPr>
          <w:rFonts w:ascii="新宋体" w:hAnsi="新宋体"/>
          <w:b/>
          <w:sz w:val="26"/>
        </w:rPr>
        <w:sectPr>
          <w:pgSz w:w="16840" w:h="11910" w:orient="landscape"/>
          <w:pgMar w:top="1531" w:right="1531" w:bottom="1531" w:left="1531" w:header="720" w:footer="720" w:gutter="0"/>
          <w:cols w:space="720" w:num="1"/>
          <w:docGrid w:linePitch="299" w:charSpace="0"/>
        </w:sectPr>
      </w:pPr>
    </w:p>
    <w:p>
      <w:pPr>
        <w:pStyle w:val="3"/>
        <w:overflowPunct w:val="0"/>
        <w:autoSpaceDE/>
        <w:autoSpaceDN/>
        <w:spacing w:line="616" w:lineRule="exact"/>
        <w:ind w:left="0"/>
        <w:jc w:val="both"/>
        <w:rPr>
          <w:rFonts w:ascii="新宋体" w:hAnsi="新宋体" w:eastAsia="黑体" w:cs="黑体"/>
          <w:b/>
          <w:color w:val="333333"/>
          <w:sz w:val="32"/>
          <w:szCs w:val="32"/>
          <w:lang w:val="en-US"/>
        </w:rPr>
      </w:pPr>
      <w:r>
        <w:rPr>
          <w:rFonts w:hint="eastAsia" w:ascii="新宋体" w:hAnsi="新宋体" w:eastAsia="黑体" w:cs="黑体"/>
          <w:b/>
          <w:color w:val="333333"/>
          <w:sz w:val="32"/>
          <w:szCs w:val="32"/>
          <w:lang w:val="en-US"/>
        </w:rPr>
        <w:t>附件2</w:t>
      </w:r>
    </w:p>
    <w:p>
      <w:pPr>
        <w:pStyle w:val="9"/>
        <w:overflowPunct w:val="0"/>
        <w:autoSpaceDE/>
        <w:autoSpaceDN/>
        <w:spacing w:beforeAutospacing="0" w:afterAutospacing="0" w:line="616" w:lineRule="exact"/>
        <w:jc w:val="center"/>
        <w:rPr>
          <w:rFonts w:ascii="新宋体" w:hAnsi="新宋体" w:eastAsia="方正小标宋简体" w:cs="方正小标宋简体"/>
          <w:b/>
          <w:color w:val="333333"/>
          <w:kern w:val="44"/>
          <w:sz w:val="44"/>
          <w:szCs w:val="44"/>
        </w:rPr>
      </w:pPr>
    </w:p>
    <w:p>
      <w:pPr>
        <w:pStyle w:val="9"/>
        <w:overflowPunct w:val="0"/>
        <w:autoSpaceDE/>
        <w:autoSpaceDN/>
        <w:spacing w:beforeAutospacing="0" w:afterAutospacing="0" w:line="616" w:lineRule="exact"/>
        <w:jc w:val="center"/>
        <w:rPr>
          <w:rFonts w:ascii="新宋体" w:hAnsi="新宋体" w:eastAsia="文星标宋" w:cs="方正小标宋简体"/>
          <w:b/>
          <w:color w:val="333333"/>
          <w:kern w:val="44"/>
          <w:sz w:val="44"/>
          <w:szCs w:val="44"/>
        </w:rPr>
      </w:pPr>
      <w:r>
        <w:rPr>
          <w:rFonts w:hint="eastAsia" w:ascii="新宋体" w:hAnsi="新宋体" w:eastAsia="文星标宋" w:cs="方正小标宋简体"/>
          <w:b/>
          <w:color w:val="333333"/>
          <w:kern w:val="44"/>
          <w:sz w:val="44"/>
          <w:szCs w:val="44"/>
        </w:rPr>
        <w:t>济南市钢城区推进大众创业万众创新工作</w:t>
      </w:r>
    </w:p>
    <w:p>
      <w:pPr>
        <w:pStyle w:val="9"/>
        <w:overflowPunct w:val="0"/>
        <w:autoSpaceDE/>
        <w:autoSpaceDN/>
        <w:spacing w:beforeAutospacing="0" w:afterAutospacing="0" w:line="616" w:lineRule="exact"/>
        <w:jc w:val="center"/>
        <w:rPr>
          <w:rFonts w:ascii="新宋体" w:hAnsi="新宋体" w:eastAsia="文星标宋" w:cs="方正小标宋简体"/>
          <w:b/>
          <w:color w:val="333333"/>
          <w:kern w:val="44"/>
          <w:sz w:val="44"/>
          <w:szCs w:val="44"/>
        </w:rPr>
      </w:pPr>
      <w:r>
        <w:rPr>
          <w:rFonts w:hint="eastAsia" w:ascii="新宋体" w:hAnsi="新宋体" w:eastAsia="文星标宋" w:cs="方正小标宋简体"/>
          <w:b/>
          <w:color w:val="333333"/>
          <w:kern w:val="44"/>
          <w:sz w:val="44"/>
          <w:szCs w:val="44"/>
        </w:rPr>
        <w:t>联席会议制度主要任务、组成人员及</w:t>
      </w:r>
    </w:p>
    <w:p>
      <w:pPr>
        <w:pStyle w:val="9"/>
        <w:overflowPunct w:val="0"/>
        <w:autoSpaceDE/>
        <w:autoSpaceDN/>
        <w:spacing w:beforeAutospacing="0" w:afterAutospacing="0" w:line="616" w:lineRule="exact"/>
        <w:jc w:val="center"/>
        <w:rPr>
          <w:rFonts w:ascii="新宋体" w:hAnsi="新宋体" w:eastAsia="文星标宋" w:cs="方正小标宋简体"/>
          <w:b/>
          <w:color w:val="333333"/>
          <w:kern w:val="44"/>
          <w:sz w:val="44"/>
          <w:szCs w:val="44"/>
        </w:rPr>
      </w:pPr>
      <w:r>
        <w:rPr>
          <w:rFonts w:hint="eastAsia" w:ascii="新宋体" w:hAnsi="新宋体" w:eastAsia="文星标宋" w:cs="方正小标宋简体"/>
          <w:b/>
          <w:color w:val="333333"/>
          <w:kern w:val="44"/>
          <w:sz w:val="44"/>
          <w:szCs w:val="44"/>
        </w:rPr>
        <w:t>工 作 机 制</w:t>
      </w:r>
    </w:p>
    <w:p>
      <w:pPr>
        <w:overflowPunct w:val="0"/>
        <w:autoSpaceDE/>
        <w:autoSpaceDN/>
        <w:spacing w:line="616" w:lineRule="exact"/>
        <w:rPr>
          <w:rFonts w:ascii="新宋体" w:hAnsi="新宋体" w:eastAsia="仿宋_GB2312" w:cs="仿宋_GB2312"/>
          <w:b/>
          <w:sz w:val="32"/>
          <w:szCs w:val="32"/>
          <w:lang w:val="en-US"/>
        </w:rPr>
      </w:pPr>
    </w:p>
    <w:p>
      <w:pPr>
        <w:overflowPunct w:val="0"/>
        <w:autoSpaceDE/>
        <w:autoSpaceDN/>
        <w:spacing w:line="616" w:lineRule="exact"/>
        <w:ind w:firstLine="641" w:firstLineChars="200"/>
        <w:jc w:val="both"/>
        <w:rPr>
          <w:rFonts w:ascii="新宋体" w:hAnsi="新宋体" w:eastAsia="文星仿宋" w:cs="仿宋_GB2312"/>
          <w:b/>
          <w:sz w:val="32"/>
          <w:szCs w:val="32"/>
          <w:lang w:val="en-US"/>
        </w:rPr>
      </w:pPr>
      <w:r>
        <w:rPr>
          <w:rFonts w:hint="eastAsia" w:ascii="新宋体" w:hAnsi="新宋体" w:eastAsia="文星仿宋" w:cs="仿宋_GB2312"/>
          <w:b/>
          <w:sz w:val="32"/>
          <w:szCs w:val="32"/>
          <w:lang w:val="en-US"/>
        </w:rPr>
        <w:t>为贯彻落实国家和省、市关于“双创”工作的相关要求，进一步加强统筹协调，形成工作合力，推进大众创业万众创新向更深更实开展，助推全区新旧动能转换和高质量发展，建立济南市钢城区推进大众创业万众创新工作联席会议制度。</w:t>
      </w:r>
    </w:p>
    <w:p>
      <w:pPr>
        <w:overflowPunct w:val="0"/>
        <w:autoSpaceDE/>
        <w:autoSpaceDN/>
        <w:spacing w:line="616" w:lineRule="exact"/>
        <w:ind w:firstLine="643" w:firstLineChars="200"/>
        <w:jc w:val="both"/>
        <w:rPr>
          <w:rFonts w:ascii="新宋体" w:hAnsi="新宋体" w:eastAsia="黑体" w:cs="仿宋_GB2312"/>
          <w:b/>
          <w:sz w:val="32"/>
          <w:szCs w:val="32"/>
          <w:lang w:val="en-US"/>
        </w:rPr>
      </w:pPr>
      <w:r>
        <w:rPr>
          <w:rFonts w:hint="eastAsia" w:ascii="新宋体" w:hAnsi="新宋体" w:eastAsia="黑体" w:cs="仿宋_GB2312"/>
          <w:b/>
          <w:sz w:val="32"/>
          <w:szCs w:val="32"/>
          <w:lang w:val="en-US"/>
        </w:rPr>
        <w:t>一、主要任务</w:t>
      </w:r>
    </w:p>
    <w:p>
      <w:pPr>
        <w:overflowPunct w:val="0"/>
        <w:autoSpaceDE/>
        <w:autoSpaceDN/>
        <w:spacing w:line="616" w:lineRule="exact"/>
        <w:ind w:firstLine="641" w:firstLineChars="200"/>
        <w:jc w:val="both"/>
        <w:rPr>
          <w:rFonts w:ascii="新宋体" w:hAnsi="新宋体" w:eastAsia="文星仿宋" w:cs="仿宋_GB2312"/>
          <w:b/>
          <w:sz w:val="32"/>
          <w:szCs w:val="32"/>
          <w:lang w:val="en-US"/>
        </w:rPr>
      </w:pPr>
      <w:r>
        <w:rPr>
          <w:rFonts w:hint="eastAsia" w:ascii="新宋体" w:hAnsi="新宋体" w:eastAsia="文星仿宋" w:cs="仿宋_GB2312"/>
          <w:b/>
          <w:sz w:val="32"/>
          <w:szCs w:val="32"/>
          <w:lang w:val="en-US"/>
        </w:rPr>
        <w:t>（一）在区政府领导下，统筹协调推进大众创业万众创新相关工作，研究和协调《济南市钢城区加快推进大众创业万众创新工作方案（2022-2025年）》实施过程中遇到的困难和问题，加强对实施过程的指导、监督和评估。</w:t>
      </w:r>
    </w:p>
    <w:p>
      <w:pPr>
        <w:overflowPunct w:val="0"/>
        <w:autoSpaceDE/>
        <w:autoSpaceDN/>
        <w:spacing w:line="616" w:lineRule="exact"/>
        <w:ind w:firstLine="641" w:firstLineChars="200"/>
        <w:jc w:val="both"/>
        <w:rPr>
          <w:rFonts w:ascii="新宋体" w:hAnsi="新宋体" w:eastAsia="文星仿宋" w:cs="仿宋_GB2312"/>
          <w:b/>
          <w:sz w:val="32"/>
          <w:szCs w:val="32"/>
          <w:lang w:val="en-US"/>
        </w:rPr>
      </w:pPr>
      <w:r>
        <w:rPr>
          <w:rFonts w:hint="eastAsia" w:ascii="新宋体" w:hAnsi="新宋体" w:eastAsia="文星仿宋" w:cs="仿宋_GB2312"/>
          <w:b/>
          <w:sz w:val="32"/>
          <w:szCs w:val="32"/>
          <w:lang w:val="en-US"/>
        </w:rPr>
        <w:t>（二）协调、督促各部门完善或出台针对性激励政策措施，推进示范基地、孵化器等载体先行先试，加快创新创业资源集聚。</w:t>
      </w:r>
    </w:p>
    <w:p>
      <w:pPr>
        <w:overflowPunct w:val="0"/>
        <w:autoSpaceDE/>
        <w:autoSpaceDN/>
        <w:spacing w:line="616" w:lineRule="exact"/>
        <w:ind w:firstLine="641" w:firstLineChars="200"/>
        <w:jc w:val="both"/>
        <w:rPr>
          <w:rFonts w:ascii="新宋体" w:hAnsi="新宋体" w:eastAsia="文星仿宋" w:cs="仿宋_GB2312"/>
          <w:b/>
          <w:sz w:val="32"/>
          <w:szCs w:val="32"/>
          <w:lang w:val="en-US"/>
        </w:rPr>
      </w:pPr>
      <w:r>
        <w:rPr>
          <w:rFonts w:hint="eastAsia" w:ascii="新宋体" w:hAnsi="新宋体" w:eastAsia="文星仿宋" w:cs="仿宋_GB2312"/>
          <w:b/>
          <w:sz w:val="32"/>
          <w:szCs w:val="32"/>
          <w:lang w:val="en-US"/>
        </w:rPr>
        <w:t>（三）梳理总结经验成果，加大创新创业宣传力度，营造鼓励创新、宽容失败的社会氛围，及时向区政府报告有关工作进展情况，研究提出政策措施建议。</w:t>
      </w:r>
    </w:p>
    <w:p>
      <w:pPr>
        <w:overflowPunct w:val="0"/>
        <w:autoSpaceDE/>
        <w:autoSpaceDN/>
        <w:spacing w:line="616" w:lineRule="exact"/>
        <w:ind w:firstLine="641" w:firstLineChars="200"/>
        <w:jc w:val="both"/>
        <w:rPr>
          <w:rFonts w:ascii="新宋体" w:hAnsi="新宋体" w:eastAsia="文星仿宋" w:cs="仿宋_GB2312"/>
          <w:b/>
          <w:sz w:val="32"/>
          <w:szCs w:val="32"/>
          <w:lang w:val="en-US"/>
        </w:rPr>
      </w:pPr>
      <w:r>
        <w:rPr>
          <w:rFonts w:hint="eastAsia" w:ascii="新宋体" w:hAnsi="新宋体" w:eastAsia="文星仿宋" w:cs="仿宋_GB2312"/>
          <w:b/>
          <w:sz w:val="32"/>
          <w:szCs w:val="32"/>
          <w:lang w:val="en-US"/>
        </w:rPr>
        <w:t>（四）完成区政府交办的其他事项。</w:t>
      </w:r>
    </w:p>
    <w:p>
      <w:pPr>
        <w:overflowPunct w:val="0"/>
        <w:autoSpaceDE/>
        <w:autoSpaceDN/>
        <w:spacing w:line="590" w:lineRule="exact"/>
        <w:ind w:firstLine="643" w:firstLineChars="200"/>
        <w:jc w:val="both"/>
        <w:rPr>
          <w:rFonts w:ascii="新宋体" w:hAnsi="新宋体" w:eastAsia="黑体" w:cs="仿宋_GB2312"/>
          <w:b/>
          <w:sz w:val="32"/>
          <w:szCs w:val="32"/>
          <w:lang w:val="en-US"/>
        </w:rPr>
      </w:pPr>
      <w:r>
        <w:rPr>
          <w:rFonts w:hint="eastAsia" w:ascii="新宋体" w:hAnsi="新宋体" w:eastAsia="黑体" w:cs="仿宋_GB2312"/>
          <w:b/>
          <w:sz w:val="32"/>
          <w:szCs w:val="32"/>
          <w:lang w:val="en-US"/>
        </w:rPr>
        <w:t>二、组成人员</w:t>
      </w:r>
    </w:p>
    <w:p>
      <w:pPr>
        <w:overflowPunct w:val="0"/>
        <w:autoSpaceDE/>
        <w:autoSpaceDN/>
        <w:spacing w:line="590" w:lineRule="exact"/>
        <w:ind w:firstLine="643" w:firstLineChars="200"/>
        <w:jc w:val="both"/>
        <w:rPr>
          <w:rFonts w:ascii="新宋体" w:hAnsi="新宋体" w:eastAsia="文星仿宋" w:cs="仿宋_GB2312"/>
          <w:b/>
          <w:sz w:val="32"/>
          <w:szCs w:val="32"/>
          <w:lang w:val="en-US"/>
        </w:rPr>
      </w:pPr>
      <w:r>
        <w:rPr>
          <w:rFonts w:hint="eastAsia" w:ascii="新宋体" w:hAnsi="新宋体" w:eastAsia="黑体" w:cs="仿宋_GB2312"/>
          <w:b/>
          <w:sz w:val="32"/>
          <w:szCs w:val="32"/>
          <w:lang w:val="en-US"/>
        </w:rPr>
        <w:t>召集人：</w:t>
      </w:r>
      <w:r>
        <w:rPr>
          <w:rFonts w:hint="eastAsia" w:ascii="新宋体" w:hAnsi="新宋体" w:eastAsia="文星仿宋" w:cs="仿宋_GB2312"/>
          <w:b/>
          <w:sz w:val="32"/>
          <w:szCs w:val="32"/>
          <w:lang w:val="en-US"/>
        </w:rPr>
        <w:t>区发展改革局主要负责同志。</w:t>
      </w:r>
    </w:p>
    <w:p>
      <w:pPr>
        <w:overflowPunct w:val="0"/>
        <w:autoSpaceDE/>
        <w:autoSpaceDN/>
        <w:spacing w:line="590" w:lineRule="exact"/>
        <w:ind w:firstLine="643" w:firstLineChars="200"/>
        <w:jc w:val="both"/>
        <w:rPr>
          <w:rFonts w:ascii="新宋体" w:hAnsi="新宋体" w:eastAsia="文星仿宋" w:cs="仿宋_GB2312"/>
          <w:b/>
          <w:sz w:val="32"/>
          <w:szCs w:val="32"/>
          <w:lang w:val="en-US"/>
        </w:rPr>
      </w:pPr>
      <w:r>
        <w:rPr>
          <w:rFonts w:hint="eastAsia" w:ascii="新宋体" w:hAnsi="新宋体" w:eastAsia="黑体" w:cs="仿宋_GB2312"/>
          <w:b/>
          <w:sz w:val="32"/>
          <w:szCs w:val="32"/>
          <w:lang w:val="en-US"/>
        </w:rPr>
        <w:t>成  员：</w:t>
      </w:r>
      <w:r>
        <w:rPr>
          <w:rFonts w:hint="eastAsia" w:ascii="新宋体" w:hAnsi="新宋体" w:eastAsia="文星仿宋" w:cs="仿宋_GB2312"/>
          <w:b/>
          <w:sz w:val="32"/>
          <w:szCs w:val="32"/>
          <w:lang w:val="en-US"/>
        </w:rPr>
        <w:t>区科协、区发展改革局（区地方金融监管局）、区教育和体育局、区工业和信息化局、区财政局、区人力资源社会保障局、区农业农村局、区文化和旅游局、区市场监管局、区行政审批服务局、区国有资产管理服务中心、区税务局分管负责同志。</w:t>
      </w:r>
    </w:p>
    <w:p>
      <w:pPr>
        <w:overflowPunct w:val="0"/>
        <w:autoSpaceDE/>
        <w:autoSpaceDN/>
        <w:spacing w:line="590" w:lineRule="exact"/>
        <w:ind w:firstLine="641" w:firstLineChars="200"/>
        <w:jc w:val="both"/>
        <w:rPr>
          <w:rFonts w:ascii="新宋体" w:hAnsi="新宋体" w:eastAsia="文星仿宋" w:cs="仿宋_GB2312"/>
          <w:b/>
          <w:sz w:val="32"/>
          <w:szCs w:val="32"/>
          <w:lang w:val="en-US"/>
        </w:rPr>
      </w:pPr>
      <w:r>
        <w:rPr>
          <w:rFonts w:hint="eastAsia" w:ascii="新宋体" w:hAnsi="新宋体" w:eastAsia="文星仿宋" w:cs="仿宋_GB2312"/>
          <w:b/>
          <w:sz w:val="32"/>
          <w:szCs w:val="32"/>
          <w:lang w:val="en-US"/>
        </w:rPr>
        <w:t>联席会议办公室设在区发展改革局，承担联席会议日常工作。联席会议联络员由各成员单位有关负责同志担任。</w:t>
      </w:r>
    </w:p>
    <w:p>
      <w:pPr>
        <w:overflowPunct w:val="0"/>
        <w:autoSpaceDE/>
        <w:autoSpaceDN/>
        <w:spacing w:line="590" w:lineRule="exact"/>
        <w:ind w:firstLine="643" w:firstLineChars="200"/>
        <w:jc w:val="both"/>
        <w:rPr>
          <w:rFonts w:ascii="新宋体" w:hAnsi="新宋体" w:eastAsia="黑体" w:cs="仿宋_GB2312"/>
          <w:b/>
          <w:sz w:val="32"/>
          <w:szCs w:val="32"/>
          <w:lang w:val="en-US"/>
        </w:rPr>
      </w:pPr>
      <w:r>
        <w:rPr>
          <w:rFonts w:hint="eastAsia" w:ascii="新宋体" w:hAnsi="新宋体" w:eastAsia="黑体" w:cs="仿宋_GB2312"/>
          <w:b/>
          <w:sz w:val="32"/>
          <w:szCs w:val="32"/>
          <w:lang w:val="en-US"/>
        </w:rPr>
        <w:t>三、工作机制</w:t>
      </w:r>
    </w:p>
    <w:p>
      <w:pPr>
        <w:overflowPunct w:val="0"/>
        <w:autoSpaceDE/>
        <w:autoSpaceDN/>
        <w:spacing w:line="590" w:lineRule="exact"/>
        <w:ind w:firstLine="641" w:firstLineChars="200"/>
        <w:jc w:val="both"/>
        <w:rPr>
          <w:rFonts w:ascii="新宋体" w:hAnsi="新宋体" w:eastAsia="文星仿宋" w:cs="仿宋_GB2312"/>
          <w:b/>
          <w:sz w:val="32"/>
          <w:szCs w:val="32"/>
          <w:lang w:val="en-US"/>
        </w:rPr>
      </w:pPr>
      <w:r>
        <w:rPr>
          <w:rFonts w:hint="eastAsia" w:ascii="新宋体" w:hAnsi="新宋体" w:eastAsia="文星楷体" w:cs="仿宋_GB2312"/>
          <w:b/>
          <w:sz w:val="32"/>
          <w:szCs w:val="32"/>
          <w:lang w:val="en-US"/>
        </w:rPr>
        <w:t>（一）调度机制。</w:t>
      </w:r>
      <w:r>
        <w:rPr>
          <w:rFonts w:hint="eastAsia" w:ascii="新宋体" w:hAnsi="新宋体" w:eastAsia="文星仿宋" w:cs="仿宋_GB2312"/>
          <w:b/>
          <w:sz w:val="32"/>
          <w:szCs w:val="32"/>
          <w:lang w:val="en-US"/>
        </w:rPr>
        <w:t>每月调度一次“双创”工作开展情况， 由召集人单位统一组织，各成员单位总结本季度工作开展情况、存在问题、意见建议、下一步工作打算以及需要统筹解决的问题等，由召集人单位汇总。</w:t>
      </w:r>
    </w:p>
    <w:p>
      <w:pPr>
        <w:overflowPunct w:val="0"/>
        <w:autoSpaceDE/>
        <w:autoSpaceDN/>
        <w:spacing w:line="590" w:lineRule="exact"/>
        <w:ind w:firstLine="641" w:firstLineChars="200"/>
        <w:jc w:val="both"/>
        <w:rPr>
          <w:rFonts w:ascii="新宋体" w:hAnsi="新宋体" w:eastAsia="文星仿宋" w:cs="仿宋_GB2312"/>
          <w:b/>
          <w:sz w:val="32"/>
          <w:szCs w:val="32"/>
          <w:lang w:val="en-US"/>
        </w:rPr>
      </w:pPr>
      <w:r>
        <w:rPr>
          <w:rFonts w:hint="eastAsia" w:ascii="新宋体" w:hAnsi="新宋体" w:eastAsia="文星楷体" w:cs="仿宋_GB2312"/>
          <w:b/>
          <w:sz w:val="32"/>
          <w:szCs w:val="32"/>
          <w:lang w:val="en-US"/>
        </w:rPr>
        <w:t>（二）例会机制。</w:t>
      </w:r>
      <w:r>
        <w:rPr>
          <w:rFonts w:hint="eastAsia" w:ascii="新宋体" w:hAnsi="新宋体" w:eastAsia="文星仿宋" w:cs="仿宋_GB2312"/>
          <w:b/>
          <w:sz w:val="32"/>
          <w:szCs w:val="32"/>
          <w:lang w:val="en-US"/>
        </w:rPr>
        <w:t>联席会议原则上每季度召开一次全体会议，由召集人主持。也可根据工作需要，临时召开会议。成员单位可根据工作需要提出召开会议的建议，经与召集人协商同意后，确定召开会议的时间、地点、参加人员等。</w:t>
      </w:r>
    </w:p>
    <w:p>
      <w:pPr>
        <w:overflowPunct w:val="0"/>
        <w:autoSpaceDE/>
        <w:autoSpaceDN/>
        <w:spacing w:line="590" w:lineRule="exact"/>
        <w:ind w:firstLine="641" w:firstLineChars="200"/>
        <w:jc w:val="both"/>
        <w:rPr>
          <w:rFonts w:ascii="新宋体" w:hAnsi="新宋体" w:eastAsia="仿宋_GB2312" w:cs="仿宋_GB2312"/>
          <w:sz w:val="32"/>
          <w:szCs w:val="32"/>
        </w:rPr>
      </w:pPr>
      <w:r>
        <w:rPr>
          <w:rFonts w:hint="eastAsia" w:ascii="新宋体" w:hAnsi="新宋体" w:eastAsia="文星楷体" w:cs="仿宋_GB2312"/>
          <w:b/>
          <w:sz w:val="32"/>
          <w:szCs w:val="32"/>
          <w:lang w:val="en-US"/>
        </w:rPr>
        <w:t>（三）信息互通共享机制。</w:t>
      </w:r>
      <w:r>
        <w:rPr>
          <w:rFonts w:hint="eastAsia" w:ascii="新宋体" w:hAnsi="新宋体" w:eastAsia="文星仿宋" w:cs="仿宋_GB2312"/>
          <w:b/>
          <w:sz w:val="32"/>
          <w:szCs w:val="32"/>
          <w:lang w:val="en-US"/>
        </w:rPr>
        <w:t>各成员单位要指定联络员，人员调整时要主动与召集人单位对接反馈，重要工作情况信息要及时通报。召集人单位要做好日常协调和信息收集工作。</w:t>
      </w:r>
    </w:p>
    <w:p>
      <w:pPr>
        <w:spacing w:line="240" w:lineRule="exact"/>
        <w:rPr>
          <w:rFonts w:hint="eastAsia" w:ascii="新宋体" w:hAnsi="新宋体"/>
        </w:rPr>
      </w:pPr>
    </w:p>
    <w:p>
      <w:pPr>
        <w:pStyle w:val="2"/>
        <w:spacing w:line="240" w:lineRule="exact"/>
        <w:ind w:left="440"/>
        <w:rPr>
          <w:rFonts w:ascii="新宋体" w:hAnsi="新宋体"/>
        </w:rPr>
      </w:pPr>
    </w:p>
    <w:p>
      <w:pPr>
        <w:pStyle w:val="8"/>
        <w:ind w:firstLine="0"/>
        <w:jc w:val="center"/>
        <w:rPr>
          <w:rFonts w:ascii="新宋体" w:hAnsi="新宋体" w:eastAsia="文星仿宋"/>
          <w:b/>
          <w:sz w:val="26"/>
        </w:rPr>
      </w:pPr>
      <w:r>
        <w:rPr>
          <w:rFonts w:ascii="新宋体" w:hAnsi="新宋体"/>
          <w:b/>
          <w:szCs w:val="32"/>
        </w:rPr>
        <mc:AlternateContent>
          <mc:Choice Requires="wps">
            <w:drawing>
              <wp:anchor distT="0" distB="0" distL="114300" distR="114300" simplePos="0" relativeHeight="251662336" behindDoc="1" locked="0" layoutInCell="1" allowOverlap="1">
                <wp:simplePos x="0" y="0"/>
                <wp:positionH relativeFrom="column">
                  <wp:posOffset>0</wp:posOffset>
                </wp:positionH>
                <wp:positionV relativeFrom="paragraph">
                  <wp:posOffset>50800</wp:posOffset>
                </wp:positionV>
                <wp:extent cx="5615940" cy="0"/>
                <wp:effectExtent l="0" t="9525" r="10160" b="15875"/>
                <wp:wrapNone/>
                <wp:docPr id="4" name="直线 7"/>
                <wp:cNvGraphicFramePr/>
                <a:graphic xmlns:a="http://schemas.openxmlformats.org/drawingml/2006/main">
                  <a:graphicData uri="http://schemas.microsoft.com/office/word/2010/wordprocessingShape">
                    <wps:wsp>
                      <wps:cNvSpPr/>
                      <wps:spPr>
                        <a:xfrm>
                          <a:off x="0" y="0"/>
                          <a:ext cx="561594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直线 7" o:spid="_x0000_s1026" o:spt="20" style="position:absolute;left:0pt;margin-left:0pt;margin-top:4pt;height:0pt;width:442.2pt;z-index:-251654144;mso-width-relative:page;mso-height-relative:page;" filled="f" stroked="t" coordsize="21600,21600" o:gfxdata="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FXAOIvRAAAABAEA&#10;AA8AAAAAAAAAAQAgAAAAIgAAAGRycy9kb3ducmV2LnhtbFBLAQIUABQAAAAIAIdO4kBrvdMx6AEA&#10;ANwDAAAOAAAAAAAAAAEAIAAAACABAABkcnMvZTJvRG9jLnhtbFBLBQYAAAAABgAGAFkBAAB6BQAA&#10;AAA=&#10;">
                <v:fill on="f" focussize="0,0"/>
                <v:stroke weight="1.5pt" color="#000000" joinstyle="round"/>
                <v:imagedata o:title=""/>
                <o:lock v:ext="edit" aspectratio="f"/>
              </v:line>
            </w:pict>
          </mc:Fallback>
        </mc:AlternateContent>
      </w:r>
      <w:r>
        <w:rPr>
          <w:rFonts w:ascii="新宋体" w:hAnsi="新宋体"/>
          <w:b/>
        </w:rPr>
        <mc:AlternateContent>
          <mc:Choice Requires="wps">
            <w:drawing>
              <wp:anchor distT="0" distB="0" distL="114300" distR="114300" simplePos="0" relativeHeight="251663360" behindDoc="1" locked="0" layoutInCell="1" allowOverlap="1">
                <wp:simplePos x="0" y="0"/>
                <wp:positionH relativeFrom="column">
                  <wp:posOffset>0</wp:posOffset>
                </wp:positionH>
                <wp:positionV relativeFrom="paragraph">
                  <wp:posOffset>474980</wp:posOffset>
                </wp:positionV>
                <wp:extent cx="5615940" cy="0"/>
                <wp:effectExtent l="0" t="9525" r="10160" b="15875"/>
                <wp:wrapNone/>
                <wp:docPr id="5" name="Line 3"/>
                <wp:cNvGraphicFramePr/>
                <a:graphic xmlns:a="http://schemas.openxmlformats.org/drawingml/2006/main">
                  <a:graphicData uri="http://schemas.microsoft.com/office/word/2010/wordprocessingShape">
                    <wps:wsp>
                      <wps:cNvSpPr/>
                      <wps:spPr>
                        <a:xfrm flipV="1">
                          <a:off x="0" y="0"/>
                          <a:ext cx="5615940" cy="0"/>
                        </a:xfrm>
                        <a:prstGeom prst="line">
                          <a:avLst/>
                        </a:prstGeom>
                        <a:ln w="19050" cap="flat" cmpd="sng">
                          <a:solidFill>
                            <a:srgbClr val="000000"/>
                          </a:solidFill>
                          <a:prstDash val="solid"/>
                          <a:headEnd type="none" w="med" len="med"/>
                          <a:tailEnd type="none" w="med" len="med"/>
                        </a:ln>
                      </wps:spPr>
                      <wps:bodyPr upright="1"/>
                    </wps:wsp>
                  </a:graphicData>
                </a:graphic>
              </wp:anchor>
            </w:drawing>
          </mc:Choice>
          <mc:Fallback>
            <w:pict>
              <v:line id="Line 3" o:spid="_x0000_s1026" o:spt="20" style="position:absolute;left:0pt;flip:y;margin-left:0pt;margin-top:37.4pt;height:0pt;width:442.2pt;z-index:-251653120;mso-width-relative:page;mso-height-relative:page;" filled="f" stroked="t" coordsize="21600,21600" o:gfxdata="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p8mDO1AAAAAYBAAAPAAAA&#10;AAAAAAEAIAAAACIAAABkcnMvZG93bnJldi54bWxQSwECFAAUAAAACACHTuJAOVuNq+ABAADkAwAA&#10;DgAAAAAAAAABACAAAAAjAQAAZHJzL2Uyb0RvYy54bWxQSwUGAAAAAAYABgBZAQAAdQUAAAAA&#10;">
                <v:fill on="f" focussize="0,0"/>
                <v:stroke weight="1.5pt" color="#000000" joinstyle="round"/>
                <v:imagedata o:title=""/>
                <o:lock v:ext="edit" aspectratio="f"/>
              </v:line>
            </w:pict>
          </mc:Fallback>
        </mc:AlternateContent>
      </w:r>
      <w:r>
        <w:rPr>
          <w:rStyle w:val="19"/>
          <w:rFonts w:hint="eastAsia" w:ascii="新宋体" w:hAnsi="新宋体" w:eastAsia="方正仿宋简体" w:cs="方正仿宋简体"/>
          <w:b/>
          <w:sz w:val="32"/>
          <w:szCs w:val="32"/>
        </w:rPr>
        <w:t>济南市钢城区人民政府办公室</w:t>
      </w:r>
      <w:r>
        <w:rPr>
          <w:rStyle w:val="19"/>
          <w:rFonts w:ascii="新宋体" w:hAnsi="新宋体" w:eastAsia="方正仿宋简体"/>
          <w:b/>
          <w:sz w:val="32"/>
          <w:szCs w:val="32"/>
        </w:rPr>
        <w:t xml:space="preserve"> </w:t>
      </w:r>
      <w:r>
        <w:rPr>
          <w:rStyle w:val="19"/>
          <w:rFonts w:hint="eastAsia" w:ascii="新宋体" w:hAnsi="新宋体" w:eastAsia="方正仿宋简体"/>
          <w:b/>
          <w:sz w:val="32"/>
          <w:szCs w:val="32"/>
        </w:rPr>
        <w:t xml:space="preserve">      </w:t>
      </w:r>
      <w:r>
        <w:rPr>
          <w:rStyle w:val="19"/>
          <w:rFonts w:ascii="新宋体" w:hAnsi="新宋体" w:eastAsia="方正仿宋简体"/>
          <w:b/>
          <w:sz w:val="32"/>
          <w:szCs w:val="32"/>
        </w:rPr>
        <w:t xml:space="preserve"> 202</w:t>
      </w:r>
      <w:r>
        <w:rPr>
          <w:rStyle w:val="19"/>
          <w:rFonts w:hint="eastAsia" w:ascii="新宋体" w:hAnsi="新宋体" w:eastAsia="方正仿宋简体"/>
          <w:b/>
          <w:sz w:val="32"/>
          <w:szCs w:val="32"/>
        </w:rPr>
        <w:t>2</w:t>
      </w:r>
      <w:r>
        <w:rPr>
          <w:rStyle w:val="19"/>
          <w:rFonts w:hint="eastAsia" w:ascii="新宋体" w:hAnsi="新宋体" w:eastAsia="方正仿宋简体" w:cs="方正仿宋简体"/>
          <w:b/>
          <w:sz w:val="32"/>
          <w:szCs w:val="32"/>
        </w:rPr>
        <w:t>年</w:t>
      </w:r>
      <w:r>
        <w:rPr>
          <w:rStyle w:val="19"/>
          <w:rFonts w:hint="eastAsia" w:ascii="新宋体" w:hAnsi="新宋体" w:eastAsia="方正仿宋简体"/>
          <w:b/>
          <w:sz w:val="32"/>
          <w:szCs w:val="32"/>
        </w:rPr>
        <w:t>11</w:t>
      </w:r>
      <w:r>
        <w:rPr>
          <w:rStyle w:val="19"/>
          <w:rFonts w:hint="eastAsia" w:ascii="新宋体" w:hAnsi="新宋体" w:eastAsia="方正仿宋简体" w:cs="方正仿宋简体"/>
          <w:b/>
          <w:sz w:val="32"/>
          <w:szCs w:val="32"/>
        </w:rPr>
        <w:t>月18日印发</w:t>
      </w:r>
      <w:r>
        <w:rPr>
          <w:rFonts w:ascii="新宋体" w:hAnsi="新宋体" w:eastAsia="文星仿宋" w:cs="仿宋_GB2312"/>
          <w:b/>
          <w:color w:val="auto"/>
          <w:sz w:val="32"/>
          <w:szCs w:val="32"/>
        </w:rPr>
        <mc:AlternateContent>
          <mc:Choice Requires="wps">
            <w:drawing>
              <wp:anchor distT="0" distB="0" distL="114300" distR="114300" simplePos="0" relativeHeight="251661312" behindDoc="0" locked="0" layoutInCell="1" allowOverlap="1">
                <wp:simplePos x="0" y="0"/>
                <wp:positionH relativeFrom="column">
                  <wp:posOffset>-187325</wp:posOffset>
                </wp:positionH>
                <wp:positionV relativeFrom="paragraph">
                  <wp:posOffset>8413115</wp:posOffset>
                </wp:positionV>
                <wp:extent cx="836930" cy="673100"/>
                <wp:effectExtent l="4445" t="4445" r="9525" b="8255"/>
                <wp:wrapNone/>
                <wp:docPr id="3" name="矩形 4"/>
                <wp:cNvGraphicFramePr/>
                <a:graphic xmlns:a="http://schemas.openxmlformats.org/drawingml/2006/main">
                  <a:graphicData uri="http://schemas.microsoft.com/office/word/2010/wordprocessingShape">
                    <wps:wsp>
                      <wps:cNvSpPr/>
                      <wps:spPr>
                        <a:xfrm>
                          <a:off x="0" y="0"/>
                          <a:ext cx="836930" cy="673100"/>
                        </a:xfrm>
                        <a:prstGeom prst="rect">
                          <a:avLst/>
                        </a:prstGeom>
                        <a:solidFill>
                          <a:srgbClr val="FFFFFF"/>
                        </a:solidFill>
                        <a:ln w="9525" cap="flat" cmpd="sng">
                          <a:solidFill>
                            <a:srgbClr val="FFFFFF"/>
                          </a:solidFill>
                          <a:prstDash val="solid"/>
                          <a:miter/>
                          <a:headEnd type="none" w="med" len="med"/>
                          <a:tailEnd type="none" w="med" len="med"/>
                        </a:ln>
                      </wps:spPr>
                      <wps:bodyPr upright="1"/>
                    </wps:wsp>
                  </a:graphicData>
                </a:graphic>
              </wp:anchor>
            </w:drawing>
          </mc:Choice>
          <mc:Fallback>
            <w:pict>
              <v:rect id="矩形 4" o:spid="_x0000_s1026" o:spt="1" style="position:absolute;left:0pt;margin-left:-14.75pt;margin-top:662.45pt;height:53pt;width:65.9pt;z-index:251661312;mso-width-relative:page;mso-height-relative:page;" fillcolor="#FFFFFF" filled="t" stroked="t" coordsize="21600,21600" o:gfxdata="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ZlMefZAAAADQEAAA8AAAAAAAAAAQAgAAAAIgAAAGRycy9kb3ducmV2Lnht&#10;bFBLAQIUABQAAAAIAIdO4kB+yRCw+AEAAB0EAAAOAAAAAAAAAAEAIAAAACgBAABkcnMvZTJvRG9j&#10;LnhtbFBLBQYAAAAABgAGAFkBAACSBQAAAAA=&#10;">
                <v:fill on="t" focussize="0,0"/>
                <v:stroke color="#FFFFFF" joinstyle="miter"/>
                <v:imagedata o:title=""/>
                <o:lock v:ext="edit" aspectratio="f"/>
              </v:rect>
            </w:pict>
          </mc:Fallback>
        </mc:AlternateContent>
      </w:r>
      <w:r>
        <w:rPr>
          <w:rFonts w:ascii="新宋体" w:hAnsi="新宋体" w:eastAsia="文星仿宋" w:cs="仿宋_GB2312"/>
          <w:b/>
          <w:color w:val="auto"/>
          <w:sz w:val="32"/>
          <w:szCs w:val="32"/>
        </w:rPr>
        <mc:AlternateContent>
          <mc:Choice Requires="wps">
            <w:drawing>
              <wp:anchor distT="0" distB="0" distL="114300" distR="114300" simplePos="0" relativeHeight="251660288" behindDoc="0" locked="0" layoutInCell="1" allowOverlap="1">
                <wp:simplePos x="0" y="0"/>
                <wp:positionH relativeFrom="column">
                  <wp:posOffset>-187325</wp:posOffset>
                </wp:positionH>
                <wp:positionV relativeFrom="paragraph">
                  <wp:posOffset>8413115</wp:posOffset>
                </wp:positionV>
                <wp:extent cx="836930" cy="673100"/>
                <wp:effectExtent l="4445" t="4445" r="9525" b="8255"/>
                <wp:wrapNone/>
                <wp:docPr id="2" name="矩形 3"/>
                <wp:cNvGraphicFramePr/>
                <a:graphic xmlns:a="http://schemas.openxmlformats.org/drawingml/2006/main">
                  <a:graphicData uri="http://schemas.microsoft.com/office/word/2010/wordprocessingShape">
                    <wps:wsp>
                      <wps:cNvSpPr/>
                      <wps:spPr>
                        <a:xfrm>
                          <a:off x="0" y="0"/>
                          <a:ext cx="836930" cy="673100"/>
                        </a:xfrm>
                        <a:prstGeom prst="rect">
                          <a:avLst/>
                        </a:prstGeom>
                        <a:solidFill>
                          <a:srgbClr val="FFFFFF"/>
                        </a:solidFill>
                        <a:ln w="9525" cap="flat" cmpd="sng">
                          <a:solidFill>
                            <a:srgbClr val="FFFFFF"/>
                          </a:solidFill>
                          <a:prstDash val="solid"/>
                          <a:miter/>
                          <a:headEnd type="none" w="med" len="med"/>
                          <a:tailEnd type="none" w="med" len="med"/>
                        </a:ln>
                      </wps:spPr>
                      <wps:bodyPr upright="1"/>
                    </wps:wsp>
                  </a:graphicData>
                </a:graphic>
              </wp:anchor>
            </w:drawing>
          </mc:Choice>
          <mc:Fallback>
            <w:pict>
              <v:rect id="矩形 3" o:spid="_x0000_s1026" o:spt="1" style="position:absolute;left:0pt;margin-left:-14.75pt;margin-top:662.45pt;height:53pt;width:65.9pt;z-index:251660288;mso-width-relative:page;mso-height-relative:page;" fillcolor="#FFFFFF" filled="t" stroked="t" coordsize="21600,21600" o:gfxdata="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ZlMefZAAAADQEAAA8AAAAAAAAAAQAgAAAAIgAAAGRycy9kb3ducmV2Lnht&#10;bFBLAQIUABQAAAAIAIdO4kAZOwSD+AEAAB0EAAAOAAAAAAAAAAEAIAAAACgBAABkcnMvZTJvRG9j&#10;LnhtbFBLBQYAAAAABgAGAFkBAACSBQAAAAA=&#10;">
                <v:fill on="t" focussize="0,0"/>
                <v:stroke color="#FFFFFF" joinstyle="miter"/>
                <v:imagedata o:title=""/>
                <o:lock v:ext="edit" aspectratio="f"/>
              </v:rect>
            </w:pict>
          </mc:Fallback>
        </mc:AlternateContent>
      </w:r>
    </w:p>
    <w:sectPr>
      <w:pgSz w:w="11910" w:h="16840"/>
      <w:pgMar w:top="1531" w:right="1531" w:bottom="1531" w:left="1531" w:header="851" w:footer="1418"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新宋体">
    <w:panose1 w:val="02010609030101010101"/>
    <w:charset w:val="86"/>
    <w:family w:val="modern"/>
    <w:pitch w:val="default"/>
    <w:sig w:usb0="00000283" w:usb1="288F0000" w:usb2="0000000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10" w:usb3="00000000" w:csb0="00040000" w:csb1="00000000"/>
  </w:font>
  <w:font w:name="文星仿宋">
    <w:panose1 w:val="02010609000101010101"/>
    <w:charset w:val="86"/>
    <w:family w:val="modern"/>
    <w:pitch w:val="default"/>
    <w:sig w:usb0="00000001" w:usb1="080E0000" w:usb2="00000000" w:usb3="00000000" w:csb0="00040000" w:csb1="00000000"/>
  </w:font>
  <w:font w:name="文星标宋">
    <w:panose1 w:val="02010609000101010101"/>
    <w:charset w:val="86"/>
    <w:family w:val="modern"/>
    <w:pitch w:val="default"/>
    <w:sig w:usb0="00000001" w:usb1="080E0000" w:usb2="00000000" w:usb3="00000000" w:csb0="00040000" w:csb1="00000000"/>
  </w:font>
  <w:font w:name="文星楷体">
    <w:panose1 w:val="0201060900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方正楷体简体">
    <w:altName w:val="楷体_GB2312"/>
    <w:panose1 w:val="02010601030101010101"/>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13"/>
        <w:rFonts w:hint="eastAsia" w:ascii="Times New Roman" w:hAnsi="Times New Roman" w:cs="Times New Roman"/>
        <w:sz w:val="24"/>
        <w:szCs w:val="24"/>
      </w:rPr>
      <w:id w:val="23366485"/>
      <w:docPartObj>
        <w:docPartGallery w:val="autotext"/>
      </w:docPartObj>
    </w:sdtPr>
    <w:sdtEndPr>
      <w:rPr>
        <w:rStyle w:val="13"/>
        <w:rFonts w:hint="eastAsia" w:ascii="Times New Roman" w:hAnsi="Times New Roman" w:cs="Times New Roman"/>
        <w:sz w:val="24"/>
        <w:szCs w:val="24"/>
      </w:rPr>
    </w:sdtEndPr>
    <w:sdtContent>
      <w:p>
        <w:pPr>
          <w:pStyle w:val="6"/>
          <w:framePr w:wrap="around" w:vAnchor="text" w:hAnchor="margin" w:xAlign="outside" w:y="1"/>
          <w:rPr>
            <w:rStyle w:val="13"/>
            <w:rFonts w:ascii="Times New Roman" w:hAnsi="Times New Roman" w:cs="Times New Roman"/>
            <w:sz w:val="24"/>
            <w:szCs w:val="24"/>
          </w:rPr>
        </w:pPr>
        <w:r>
          <w:rPr>
            <w:rStyle w:val="13"/>
            <w:rFonts w:hint="eastAsia" w:ascii="Times New Roman" w:hAnsi="Times New Roman" w:cs="Times New Roman"/>
            <w:sz w:val="24"/>
            <w:szCs w:val="24"/>
          </w:rPr>
          <w:t>—</w:t>
        </w:r>
        <w:r>
          <w:rPr>
            <w:rStyle w:val="13"/>
            <w:rFonts w:ascii="Times New Roman" w:hAnsi="Times New Roman" w:cs="Times New Roman"/>
            <w:sz w:val="24"/>
            <w:szCs w:val="24"/>
          </w:rPr>
          <w:fldChar w:fldCharType="begin"/>
        </w:r>
        <w:r>
          <w:rPr>
            <w:rStyle w:val="13"/>
            <w:rFonts w:ascii="Times New Roman" w:hAnsi="Times New Roman" w:cs="Times New Roman"/>
            <w:sz w:val="24"/>
            <w:szCs w:val="24"/>
          </w:rPr>
          <w:instrText xml:space="preserve">PAGE  </w:instrText>
        </w:r>
        <w:r>
          <w:rPr>
            <w:rStyle w:val="13"/>
            <w:rFonts w:ascii="Times New Roman" w:hAnsi="Times New Roman" w:cs="Times New Roman"/>
            <w:sz w:val="24"/>
            <w:szCs w:val="24"/>
          </w:rPr>
          <w:fldChar w:fldCharType="separate"/>
        </w:r>
        <w:r>
          <w:rPr>
            <w:rStyle w:val="13"/>
            <w:rFonts w:ascii="Times New Roman" w:hAnsi="Times New Roman" w:cs="Times New Roman"/>
            <w:sz w:val="24"/>
            <w:szCs w:val="24"/>
          </w:rPr>
          <w:t>24</w:t>
        </w:r>
        <w:r>
          <w:rPr>
            <w:rStyle w:val="13"/>
            <w:rFonts w:ascii="Times New Roman" w:hAnsi="Times New Roman" w:cs="Times New Roman"/>
            <w:sz w:val="24"/>
            <w:szCs w:val="24"/>
          </w:rPr>
          <w:fldChar w:fldCharType="end"/>
        </w:r>
        <w:r>
          <w:rPr>
            <w:rStyle w:val="13"/>
            <w:rFonts w:hint="eastAsia" w:ascii="Times New Roman" w:hAnsi="Times New Roman" w:cs="Times New Roman"/>
            <w:sz w:val="24"/>
            <w:szCs w:val="24"/>
          </w:rPr>
          <w:t>—</w:t>
        </w:r>
      </w:p>
    </w:sdtContent>
  </w:sdt>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drawingGridHorizontalSpacing w:val="110"/>
  <w:displayHorizontalDrawingGridEvery w:val="2"/>
  <w:characterSpacingControl w:val="doNotCompres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zMjE3OTg4YmUzMDQxZWZlZTkyODZmNDE3Mjc1YTUifQ=="/>
  </w:docVars>
  <w:rsids>
    <w:rsidRoot w:val="00EC5535"/>
    <w:rsid w:val="000059FD"/>
    <w:rsid w:val="00155CC7"/>
    <w:rsid w:val="00203A0B"/>
    <w:rsid w:val="002413E6"/>
    <w:rsid w:val="002423B0"/>
    <w:rsid w:val="00264E1F"/>
    <w:rsid w:val="00270C8B"/>
    <w:rsid w:val="00303E2D"/>
    <w:rsid w:val="00354E63"/>
    <w:rsid w:val="003D7FCD"/>
    <w:rsid w:val="003E277C"/>
    <w:rsid w:val="0046611B"/>
    <w:rsid w:val="00595DEE"/>
    <w:rsid w:val="005B310A"/>
    <w:rsid w:val="005F374F"/>
    <w:rsid w:val="0060722F"/>
    <w:rsid w:val="006A661A"/>
    <w:rsid w:val="006B7EE8"/>
    <w:rsid w:val="006D47CA"/>
    <w:rsid w:val="006E3D5D"/>
    <w:rsid w:val="007C24BA"/>
    <w:rsid w:val="008318EC"/>
    <w:rsid w:val="00887DAE"/>
    <w:rsid w:val="008A10F5"/>
    <w:rsid w:val="008E40BA"/>
    <w:rsid w:val="009161F9"/>
    <w:rsid w:val="0093093C"/>
    <w:rsid w:val="009953BF"/>
    <w:rsid w:val="009C7183"/>
    <w:rsid w:val="00AA0824"/>
    <w:rsid w:val="00B009AC"/>
    <w:rsid w:val="00B743F4"/>
    <w:rsid w:val="00BE6239"/>
    <w:rsid w:val="00CD38D3"/>
    <w:rsid w:val="00CF0861"/>
    <w:rsid w:val="00CF6B00"/>
    <w:rsid w:val="00D03014"/>
    <w:rsid w:val="00D10ED7"/>
    <w:rsid w:val="00D22210"/>
    <w:rsid w:val="00DC11F1"/>
    <w:rsid w:val="00DC1B5D"/>
    <w:rsid w:val="00DC2314"/>
    <w:rsid w:val="00DF0E1D"/>
    <w:rsid w:val="00EC5535"/>
    <w:rsid w:val="00F87D3C"/>
    <w:rsid w:val="048A4D49"/>
    <w:rsid w:val="1A2D3CCD"/>
    <w:rsid w:val="1FBC6C2B"/>
    <w:rsid w:val="45F12B34"/>
    <w:rsid w:val="569B1BC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3"/>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zh-CN" w:eastAsia="zh-CN" w:bidi="zh-CN"/>
    </w:rPr>
  </w:style>
  <w:style w:type="paragraph" w:styleId="3">
    <w:name w:val="heading 1"/>
    <w:basedOn w:val="1"/>
    <w:next w:val="1"/>
    <w:qFormat/>
    <w:uiPriority w:val="1"/>
    <w:pPr>
      <w:ind w:left="141"/>
      <w:outlineLvl w:val="0"/>
    </w:pPr>
    <w:rPr>
      <w:sz w:val="44"/>
      <w:szCs w:val="44"/>
    </w:rPr>
  </w:style>
  <w:style w:type="paragraph" w:styleId="4">
    <w:name w:val="heading 2"/>
    <w:basedOn w:val="1"/>
    <w:next w:val="1"/>
    <w:qFormat/>
    <w:uiPriority w:val="1"/>
    <w:pPr>
      <w:spacing w:before="66"/>
      <w:ind w:left="556" w:right="735"/>
      <w:outlineLvl w:val="1"/>
    </w:pPr>
    <w:rPr>
      <w:sz w:val="39"/>
      <w:szCs w:val="39"/>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qFormat/>
    <w:uiPriority w:val="0"/>
    <w:pPr>
      <w:spacing w:line="480" w:lineRule="auto"/>
      <w:ind w:left="420" w:leftChars="200"/>
    </w:pPr>
  </w:style>
  <w:style w:type="paragraph" w:styleId="5">
    <w:name w:val="Body Text"/>
    <w:basedOn w:val="1"/>
    <w:qFormat/>
    <w:uiPriority w:val="1"/>
    <w:rPr>
      <w:sz w:val="32"/>
      <w:szCs w:val="32"/>
    </w:rPr>
  </w:style>
  <w:style w:type="paragraph" w:styleId="6">
    <w:name w:val="footer"/>
    <w:basedOn w:val="1"/>
    <w:link w:val="18"/>
    <w:qFormat/>
    <w:uiPriority w:val="99"/>
    <w:pPr>
      <w:tabs>
        <w:tab w:val="center" w:pos="4153"/>
        <w:tab w:val="right" w:pos="8306"/>
      </w:tabs>
      <w:snapToGrid w:val="0"/>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8">
    <w:name w:val="toc 1"/>
    <w:basedOn w:val="1"/>
    <w:next w:val="1"/>
    <w:qFormat/>
    <w:uiPriority w:val="0"/>
    <w:pPr>
      <w:autoSpaceDE/>
      <w:autoSpaceDN/>
      <w:spacing w:line="640" w:lineRule="exact"/>
      <w:ind w:firstLine="705"/>
      <w:jc w:val="both"/>
    </w:pPr>
    <w:rPr>
      <w:rFonts w:ascii="仿宋_GB2312" w:hAnsi="Calibri" w:cs="Times New Roman"/>
      <w:color w:val="000000"/>
      <w:kern w:val="2"/>
      <w:sz w:val="36"/>
      <w:szCs w:val="36"/>
      <w:lang w:val="en-US" w:bidi="ar-SA"/>
    </w:rPr>
  </w:style>
  <w:style w:type="paragraph" w:styleId="9">
    <w:name w:val="Normal (Web)"/>
    <w:basedOn w:val="1"/>
    <w:qFormat/>
    <w:uiPriority w:val="0"/>
    <w:pPr>
      <w:spacing w:beforeAutospacing="1" w:afterAutospacing="1"/>
    </w:pPr>
    <w:rPr>
      <w:rFonts w:cs="Times New Roman"/>
      <w:sz w:val="24"/>
      <w:lang w:val="en-US" w:bidi="ar-SA"/>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unhideWhenUsed/>
    <w:qFormat/>
    <w:uiPriority w:val="99"/>
  </w:style>
  <w:style w:type="table" w:customStyle="1" w:styleId="14">
    <w:name w:val="Table Normal"/>
    <w:qFormat/>
    <w:uiPriority w:val="2"/>
    <w:tblPr>
      <w:tblCellMar>
        <w:top w:w="0" w:type="dxa"/>
        <w:left w:w="0" w:type="dxa"/>
        <w:bottom w:w="0" w:type="dxa"/>
        <w:right w:w="0" w:type="dxa"/>
      </w:tblCellMar>
    </w:tblPr>
  </w:style>
  <w:style w:type="paragraph" w:styleId="15">
    <w:name w:val="List Paragraph"/>
    <w:basedOn w:val="1"/>
    <w:qFormat/>
    <w:uiPriority w:val="1"/>
  </w:style>
  <w:style w:type="paragraph" w:customStyle="1" w:styleId="16">
    <w:name w:val="Table Paragraph"/>
    <w:basedOn w:val="1"/>
    <w:qFormat/>
    <w:uiPriority w:val="1"/>
  </w:style>
  <w:style w:type="paragraph" w:customStyle="1" w:styleId="17">
    <w:name w:val="样式 首行缩进:  2 字符"/>
    <w:basedOn w:val="1"/>
    <w:qFormat/>
    <w:uiPriority w:val="0"/>
    <w:pPr>
      <w:autoSpaceDE/>
      <w:autoSpaceDN/>
      <w:ind w:firstLine="560"/>
      <w:jc w:val="both"/>
    </w:pPr>
    <w:rPr>
      <w:rFonts w:ascii="Calibri" w:hAnsi="Calibri" w:eastAsia="仿宋_GB2312"/>
      <w:kern w:val="2"/>
      <w:sz w:val="24"/>
      <w:szCs w:val="20"/>
      <w:lang w:val="en-US" w:bidi="ar-SA"/>
    </w:rPr>
  </w:style>
  <w:style w:type="character" w:customStyle="1" w:styleId="18">
    <w:name w:val="页脚 Char"/>
    <w:basedOn w:val="12"/>
    <w:link w:val="6"/>
    <w:qFormat/>
    <w:uiPriority w:val="99"/>
    <w:rPr>
      <w:rFonts w:ascii="宋体" w:hAnsi="宋体"/>
      <w:sz w:val="18"/>
      <w:szCs w:val="22"/>
      <w:lang w:val="zh-CN" w:bidi="zh-CN"/>
    </w:rPr>
  </w:style>
  <w:style w:type="character" w:customStyle="1" w:styleId="19">
    <w:name w:val="txt1"/>
    <w:basedOn w:val="12"/>
    <w:qFormat/>
    <w:uiPriority w:val="99"/>
    <w:rPr>
      <w:rFonts w:ascii="宋体" w:hAnsi="宋体" w:eastAsia="宋体" w:cs="宋体"/>
      <w:sz w:val="2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11842</Words>
  <Characters>12029</Characters>
  <Lines>88</Lines>
  <Paragraphs>24</Paragraphs>
  <TotalTime>141</TotalTime>
  <ScaleCrop>false</ScaleCrop>
  <LinksUpToDate>false</LinksUpToDate>
  <CharactersWithSpaces>12057</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2022-07-25T09:21:00Z</dcterms:created>
  <dc:creator>zz</dc:creator>
  <cp:lastModifiedBy>……</cp:lastModifiedBy>
  <cp:lastPrinted>2022-10-14T08:31:00Z</cp:lastPrinted>
  <dcterms:modified xsi:type="dcterms:W3CDTF">2022-12-29T03:49:06Z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2022-05-10T00:00:00Z</vt:filetime>
  </property>
  <property fmtid="{D5CDD505-2E9C-101B-9397-08002B2CF9AE}" pid="3" name="Creator">
    <vt:lpwstr>Aspose Ltd.</vt:lpwstr>
  </property>
  <property fmtid="{D5CDD505-2E9C-101B-9397-08002B2CF9AE}" pid="4" name="LastSaved">
    <vt:filetime>2022-07-25T00:00:00Z</vt:filetime>
  </property>
  <property fmtid="{D5CDD505-2E9C-101B-9397-08002B2CF9AE}" pid="5" name="KSOProductBuildVer">
    <vt:lpwstr>2052-11.1.0.12980</vt:lpwstr>
  </property>
  <property fmtid="{D5CDD505-2E9C-101B-9397-08002B2CF9AE}" pid="6" name="ICV">
    <vt:lpwstr>9619FAE593C5492D85ED58968EC7BB06</vt:lpwstr>
  </property>
</Properties>
</file>