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rPr>
          <w:rFonts w:ascii="新宋体" w:hAnsi="新宋体"/>
          <w:b/>
          <w:bCs/>
          <w:spacing w:val="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rPr>
          <w:rFonts w:ascii="新宋体" w:hAnsi="新宋体"/>
          <w:b/>
          <w:bCs/>
          <w:spacing w:val="0"/>
        </w:rPr>
      </w:pPr>
      <w:r>
        <w:rPr>
          <w:rFonts w:ascii="新宋体" w:hAnsi="新宋体"/>
          <w:b/>
          <w:bCs/>
          <w:spacing w:val="0"/>
        </w:rPr>
        <w:t>《政府工作报告》名词解释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rPr>
          <w:rFonts w:ascii="新宋体" w:hAnsi="新宋体"/>
          <w:b/>
          <w:bCs/>
          <w:spacing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 w:firstLineChars="200"/>
        <w:rPr>
          <w:rFonts w:hint="default" w:ascii="新宋体" w:hAnsi="新宋体" w:eastAsia="黑体"/>
          <w:b/>
          <w:bCs/>
          <w:spacing w:val="0"/>
          <w:lang w:val="en-US" w:eastAsia="zh-CN"/>
        </w:rPr>
      </w:pPr>
      <w:r>
        <w:rPr>
          <w:rFonts w:hint="eastAsia" w:ascii="新宋体" w:hAnsi="新宋体" w:eastAsia="黑体"/>
          <w:b/>
          <w:bCs/>
          <w:spacing w:val="0"/>
        </w:rPr>
        <w:t>1.</w:t>
      </w:r>
      <w:r>
        <w:rPr>
          <w:rFonts w:hint="eastAsia" w:ascii="新宋体" w:hAnsi="新宋体" w:eastAsia="黑体"/>
          <w:b/>
          <w:bCs/>
          <w:spacing w:val="0"/>
          <w:lang w:val="en-US" w:eastAsia="zh-CN"/>
        </w:rPr>
        <w:t>瞪羚企业：</w:t>
      </w:r>
      <w:r>
        <w:rPr>
          <w:rFonts w:hint="eastAsia" w:ascii="新宋体" w:hAnsi="新宋体"/>
          <w:b/>
          <w:bCs/>
          <w:spacing w:val="0"/>
          <w:lang w:val="en-US" w:eastAsia="zh-CN"/>
        </w:rPr>
        <w:t>即以科技创新或商业模式创新为支撑进入高成长期的高新技术企业。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 w:firstLineChars="200"/>
        <w:rPr>
          <w:rFonts w:hint="eastAsia" w:ascii="新宋体" w:hAnsi="新宋体" w:eastAsia="黑体"/>
          <w:b/>
          <w:bCs/>
          <w:spacing w:val="0"/>
          <w:lang w:eastAsia="zh-CN"/>
        </w:rPr>
      </w:pPr>
      <w:r>
        <w:rPr>
          <w:rFonts w:hint="eastAsia" w:ascii="新宋体" w:hAnsi="新宋体" w:eastAsia="黑体"/>
          <w:b/>
          <w:bCs/>
          <w:spacing w:val="0"/>
          <w:lang w:val="en-US" w:eastAsia="zh-CN"/>
        </w:rPr>
        <w:t>2.</w:t>
      </w:r>
      <w:r>
        <w:rPr>
          <w:rFonts w:hint="eastAsia" w:ascii="新宋体" w:hAnsi="新宋体" w:eastAsia="黑体"/>
          <w:b/>
          <w:bCs/>
          <w:spacing w:val="0"/>
        </w:rPr>
        <w:t>专精特新</w:t>
      </w:r>
      <w:r>
        <w:rPr>
          <w:rFonts w:hint="eastAsia" w:ascii="新宋体" w:hAnsi="新宋体" w:eastAsia="黑体"/>
          <w:b/>
          <w:bCs/>
          <w:spacing w:val="0"/>
          <w:lang w:val="en-US" w:eastAsia="zh-CN"/>
        </w:rPr>
        <w:t>中小企业</w:t>
      </w:r>
      <w:r>
        <w:rPr>
          <w:rFonts w:hint="eastAsia" w:ascii="新宋体" w:hAnsi="新宋体" w:eastAsia="黑体"/>
          <w:b/>
          <w:bCs/>
          <w:spacing w:val="0"/>
          <w:lang w:eastAsia="zh-CN"/>
        </w:rPr>
        <w:t>：</w:t>
      </w:r>
      <w:r>
        <w:rPr>
          <w:rFonts w:hint="eastAsia" w:ascii="新宋体" w:hAnsi="新宋体"/>
          <w:b/>
          <w:bCs/>
          <w:spacing w:val="0"/>
          <w:lang w:val="en-US" w:eastAsia="zh-CN"/>
        </w:rPr>
        <w:t>即</w:t>
      </w:r>
      <w:r>
        <w:rPr>
          <w:rFonts w:hint="eastAsia" w:ascii="新宋体" w:hAnsi="新宋体"/>
          <w:b/>
          <w:bCs/>
          <w:spacing w:val="0"/>
          <w:lang w:eastAsia="zh-CN"/>
        </w:rPr>
        <w:t>具有专业化、精细化、特色化、新颖化等四大特征的企业。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 w:firstLineChars="200"/>
        <w:rPr>
          <w:rFonts w:hint="eastAsia" w:ascii="新宋体" w:hAnsi="新宋体" w:eastAsia="黑体"/>
          <w:b/>
          <w:bCs/>
          <w:spacing w:val="0"/>
          <w:lang w:val="en-US" w:eastAsia="zh-CN"/>
        </w:rPr>
      </w:pPr>
      <w:r>
        <w:rPr>
          <w:rFonts w:hint="eastAsia" w:ascii="新宋体" w:hAnsi="新宋体" w:eastAsia="黑体"/>
          <w:b/>
          <w:bCs/>
          <w:spacing w:val="0"/>
          <w:lang w:val="en-US" w:eastAsia="zh-CN"/>
        </w:rPr>
        <w:t>3.“三品一标”：</w:t>
      </w:r>
      <w:r>
        <w:rPr>
          <w:rFonts w:hint="eastAsia" w:ascii="新宋体" w:hAnsi="新宋体"/>
          <w:b/>
          <w:bCs/>
          <w:spacing w:val="0"/>
          <w:lang w:val="en-US" w:eastAsia="zh-CN"/>
        </w:rPr>
        <w:t>即无公害农产品、绿色食品、有机农产品和农产品地理标志。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 w:firstLineChars="200"/>
        <w:rPr>
          <w:rFonts w:hint="eastAsia" w:ascii="新宋体" w:hAnsi="新宋体"/>
          <w:b/>
          <w:bCs/>
          <w:spacing w:val="0"/>
          <w:kern w:val="0"/>
          <w:szCs w:val="32"/>
          <w:lang w:val="zh-CN"/>
        </w:rPr>
      </w:pPr>
      <w:r>
        <w:rPr>
          <w:rFonts w:hint="eastAsia" w:ascii="新宋体" w:hAnsi="新宋体" w:eastAsia="黑体"/>
          <w:b/>
          <w:bCs/>
          <w:spacing w:val="0"/>
          <w:lang w:val="en-US" w:eastAsia="zh-CN"/>
        </w:rPr>
        <w:t>4.</w:t>
      </w:r>
      <w:r>
        <w:rPr>
          <w:rFonts w:hint="eastAsia" w:ascii="新宋体" w:hAnsi="新宋体" w:eastAsia="黑体"/>
          <w:b/>
          <w:bCs/>
          <w:spacing w:val="0"/>
        </w:rPr>
        <w:t>“两全两高”：</w:t>
      </w:r>
      <w:r>
        <w:rPr>
          <w:rFonts w:hint="eastAsia" w:ascii="新宋体" w:hAnsi="新宋体"/>
          <w:b/>
          <w:bCs/>
          <w:spacing w:val="0"/>
        </w:rPr>
        <w:t>即农业机械化全程全面、高质高效发展。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/>
        <w:rPr>
          <w:rFonts w:hint="eastAsia" w:ascii="新宋体" w:hAnsi="新宋体" w:eastAsia="黑体"/>
          <w:b/>
          <w:bCs/>
          <w:spacing w:val="0"/>
          <w:lang w:val="en-US" w:eastAsia="zh-CN"/>
        </w:rPr>
      </w:pPr>
      <w:r>
        <w:rPr>
          <w:rFonts w:hint="eastAsia" w:ascii="新宋体" w:hAnsi="新宋体" w:eastAsia="黑体"/>
          <w:b/>
          <w:bCs/>
          <w:spacing w:val="0"/>
          <w:lang w:val="en-US" w:eastAsia="zh-CN"/>
        </w:rPr>
        <w:t>5.“五经普”：</w:t>
      </w:r>
      <w:r>
        <w:rPr>
          <w:rFonts w:hint="eastAsia" w:ascii="新宋体" w:hAnsi="新宋体" w:eastAsia="方正仿宋简体" w:cs="Times New Roman"/>
          <w:b/>
          <w:bCs/>
          <w:spacing w:val="0"/>
          <w:kern w:val="2"/>
          <w:sz w:val="32"/>
          <w:szCs w:val="24"/>
          <w:lang w:val="en-US" w:eastAsia="zh-CN" w:bidi="ar-SA"/>
        </w:rPr>
        <w:t>即第五次全国经济普查，主要目的是全面调查我国第二产业和第三产业发展规模、布局和效益，摸清各类单位基本情况</w:t>
      </w:r>
      <w:r>
        <w:rPr>
          <w:rFonts w:hint="eastAsia" w:ascii="新宋体" w:hAnsi="新宋体" w:cs="Times New Roman"/>
          <w:b/>
          <w:bCs/>
          <w:spacing w:val="0"/>
          <w:kern w:val="2"/>
          <w:sz w:val="32"/>
          <w:szCs w:val="24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/>
        <w:rPr>
          <w:rFonts w:hint="eastAsia" w:ascii="新宋体" w:hAnsi="新宋体"/>
          <w:b/>
          <w:bCs/>
          <w:spacing w:val="0"/>
          <w:kern w:val="0"/>
          <w:szCs w:val="32"/>
          <w:lang w:eastAsia="zh-CN"/>
        </w:rPr>
      </w:pPr>
      <w:r>
        <w:rPr>
          <w:rFonts w:hint="eastAsia" w:ascii="新宋体" w:hAnsi="新宋体" w:eastAsia="黑体"/>
          <w:b/>
          <w:bCs/>
          <w:spacing w:val="0"/>
          <w:kern w:val="0"/>
          <w:szCs w:val="32"/>
          <w:lang w:val="en-US" w:eastAsia="zh-CN"/>
        </w:rPr>
        <w:t>6</w:t>
      </w:r>
      <w:r>
        <w:rPr>
          <w:rFonts w:hint="eastAsia" w:ascii="新宋体" w:hAnsi="新宋体" w:eastAsia="黑体"/>
          <w:b/>
          <w:bCs/>
          <w:spacing w:val="0"/>
          <w:kern w:val="0"/>
          <w:szCs w:val="32"/>
        </w:rPr>
        <w:t>.“1134”全链条闭环督查体系</w:t>
      </w:r>
      <w:r>
        <w:rPr>
          <w:rFonts w:hint="eastAsia" w:ascii="新宋体" w:hAnsi="新宋体" w:eastAsia="黑体"/>
          <w:b/>
          <w:bCs/>
          <w:spacing w:val="0"/>
          <w:kern w:val="0"/>
          <w:szCs w:val="32"/>
          <w:lang w:eastAsia="zh-CN"/>
        </w:rPr>
        <w:t>：</w:t>
      </w:r>
      <w:r>
        <w:rPr>
          <w:rFonts w:hint="eastAsia" w:ascii="新宋体" w:hAnsi="新宋体"/>
          <w:b/>
          <w:bCs/>
          <w:spacing w:val="0"/>
          <w:kern w:val="0"/>
          <w:szCs w:val="32"/>
          <w:lang w:eastAsia="zh-CN"/>
        </w:rPr>
        <w:t>第一个“1”，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即</w:t>
      </w:r>
      <w:r>
        <w:rPr>
          <w:rFonts w:hint="eastAsia" w:ascii="新宋体" w:hAnsi="新宋体"/>
          <w:b/>
          <w:bCs/>
          <w:spacing w:val="0"/>
          <w:kern w:val="0"/>
          <w:szCs w:val="32"/>
          <w:lang w:eastAsia="zh-CN"/>
        </w:rPr>
        <w:t>《关于进一步加强督查落实工作的意见》。第二个“1”，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即</w:t>
      </w:r>
      <w:r>
        <w:rPr>
          <w:rFonts w:hint="eastAsia" w:ascii="新宋体" w:hAnsi="新宋体"/>
          <w:b/>
          <w:bCs/>
          <w:spacing w:val="0"/>
          <w:kern w:val="0"/>
          <w:szCs w:val="32"/>
          <w:lang w:eastAsia="zh-CN"/>
        </w:rPr>
        <w:t>建立区政府办公室统筹协调、各部门单位分工负责、多方联动的“全员抓督查”工作机制，实现批示交办事项办理“一口进、一口出”。“3”，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即</w:t>
      </w:r>
      <w:r>
        <w:rPr>
          <w:rFonts w:hint="eastAsia" w:ascii="新宋体" w:hAnsi="新宋体"/>
          <w:b/>
          <w:bCs/>
          <w:spacing w:val="0"/>
          <w:kern w:val="0"/>
          <w:szCs w:val="32"/>
          <w:lang w:eastAsia="zh-CN"/>
        </w:rPr>
        <w:t>定期调度事项、会议安排事项、全周期管理三个清单台账。“4”，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即</w:t>
      </w:r>
      <w:r>
        <w:rPr>
          <w:rFonts w:hint="eastAsia" w:ascii="新宋体" w:hAnsi="新宋体"/>
          <w:b/>
          <w:bCs/>
          <w:spacing w:val="0"/>
          <w:kern w:val="0"/>
          <w:szCs w:val="32"/>
          <w:lang w:eastAsia="zh-CN"/>
        </w:rPr>
        <w:t>现场督查、暗访督查、联合督查、轮训督查四种督查方式。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/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</w:pPr>
      <w:r>
        <w:rPr>
          <w:rFonts w:hint="eastAsia" w:ascii="新宋体" w:hAnsi="新宋体" w:eastAsia="黑体"/>
          <w:b/>
          <w:bCs/>
          <w:spacing w:val="0"/>
          <w:kern w:val="0"/>
          <w:szCs w:val="32"/>
          <w:lang w:val="en-US" w:eastAsia="zh-CN"/>
        </w:rPr>
        <w:t>7.审计整改“督审协同”机制：</w:t>
      </w:r>
      <w:r>
        <w:rPr>
          <w:rFonts w:hint="eastAsia" w:ascii="新宋体" w:hAnsi="新宋体"/>
          <w:b/>
          <w:bCs/>
          <w:spacing w:val="0"/>
          <w:lang w:val="en-US" w:eastAsia="zh-CN"/>
        </w:rPr>
        <w:t>即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建立健全区委、区政府督查工作与审计整改工作的督查协同联动机制，推动党政督查与审计监督有效衔接。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/>
        <w:rPr>
          <w:rFonts w:hint="eastAsia" w:ascii="新宋体" w:hAnsi="新宋体" w:eastAsia="黑体"/>
          <w:b/>
          <w:bCs/>
          <w:spacing w:val="0"/>
          <w:kern w:val="0"/>
          <w:szCs w:val="32"/>
          <w:lang w:val="en-US" w:eastAsia="zh-CN"/>
        </w:rPr>
      </w:pPr>
      <w:r>
        <w:rPr>
          <w:rFonts w:hint="eastAsia" w:ascii="新宋体" w:hAnsi="新宋体" w:eastAsia="黑体"/>
          <w:b/>
          <w:bCs/>
          <w:spacing w:val="0"/>
          <w:kern w:val="0"/>
          <w:szCs w:val="32"/>
          <w:lang w:val="en-US" w:eastAsia="zh-CN"/>
        </w:rPr>
        <w:t>8.“揭榜挂帅”：</w:t>
      </w:r>
      <w:r>
        <w:rPr>
          <w:rFonts w:hint="eastAsia" w:ascii="新宋体" w:hAnsi="新宋体"/>
          <w:b/>
          <w:bCs/>
          <w:spacing w:val="0"/>
          <w:lang w:val="en-US" w:eastAsia="zh-CN"/>
        </w:rPr>
        <w:t>即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由需求方提出具体技术研发和成果转化需求、科技行政部门提供平台发布揭榜任务、促成供需对接并予以立项，给予一定的经费补助，加快解决技术难题和转化科技成果的新型科技项目立项方式。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/>
        <w:rPr>
          <w:rFonts w:hint="eastAsia" w:ascii="新宋体" w:hAnsi="新宋体"/>
          <w:b/>
          <w:bCs/>
          <w:spacing w:val="0"/>
          <w:kern w:val="0"/>
          <w:szCs w:val="32"/>
          <w:lang w:eastAsia="zh-CN"/>
        </w:rPr>
      </w:pPr>
      <w:r>
        <w:rPr>
          <w:rFonts w:hint="eastAsia" w:ascii="新宋体" w:hAnsi="新宋体" w:eastAsia="黑体"/>
          <w:b/>
          <w:bCs/>
          <w:spacing w:val="0"/>
          <w:kern w:val="0"/>
          <w:szCs w:val="32"/>
          <w:lang w:val="en-US" w:eastAsia="zh-CN"/>
        </w:rPr>
        <w:t>9.“三看三深化”：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2024年1月2日，市委书记刘强在市委经济工作会议暨2024年“项目深化年”工作动员大会上指出，要扭住“项目深化年”这个“总牵引”，在项目谋划、落地、建设、见效、服务等五个环节上做到“三看三深化”。即在产业项目谋划上，一看是否体现新发展理念，二看与本地主导产业的关联度强不强，三看对各类资本的吸引力强不强；一要深化按图索骥、建立产业项目“揭榜挂帅”机制，二要深化质量管理、完善项目谋划评价体系，三要深化奖励激励、提升谋划策划项目积极性。在项目落地上，一看项目实施主体是否明确，二看前期准备工作是否充分，三看要素保障是否到位；一要深化完善项目落地手续“预办理”制度，二要深化完善“四个并联”审批机制，三要深化完善项目要素保障机制。在项目建设上，一看工作组织，二看推进效率，三看投资质量；一要深化问题解决闭环机制，二要深化对行业主管部门的投资考核机制，三要深化项目建设和投资工作统筹机制。在项目建成达效上，一看是否按期投入运行，二看是否达到预期目标，三看是否具有综合效益；一要深化项目建设和周边配套“双同步”机制，二要深化全市统一的产销对接平台建设，三要深化完善项目建设后评估机制。在项目服务上，一看颗粒度，二看专业度，三看满意度；一要深化完善“泉惠企”和12345热线问题解决机制，二要深化完善惠企政策落实机制，三要深化完善项目建设的法治保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/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</w:pPr>
      <w:r>
        <w:rPr>
          <w:rFonts w:hint="eastAsia" w:ascii="新宋体" w:hAnsi="新宋体" w:eastAsia="黑体"/>
          <w:b/>
          <w:bCs/>
          <w:spacing w:val="0"/>
          <w:kern w:val="0"/>
          <w:szCs w:val="32"/>
          <w:lang w:val="en-US" w:eastAsia="zh-CN"/>
        </w:rPr>
        <w:t>10.</w:t>
      </w:r>
      <w:r>
        <w:rPr>
          <w:rFonts w:hint="eastAsia" w:ascii="新宋体" w:hAnsi="新宋体" w:eastAsia="黑体"/>
          <w:b/>
          <w:bCs/>
          <w:spacing w:val="0"/>
          <w:kern w:val="0"/>
          <w:szCs w:val="32"/>
        </w:rPr>
        <w:t>十六项专项行动</w:t>
      </w:r>
      <w:r>
        <w:rPr>
          <w:rFonts w:hint="eastAsia" w:ascii="新宋体" w:hAnsi="新宋体" w:eastAsia="黑体"/>
          <w:b/>
          <w:bCs/>
          <w:spacing w:val="0"/>
          <w:kern w:val="0"/>
          <w:szCs w:val="32"/>
          <w:lang w:eastAsia="zh-CN"/>
        </w:rPr>
        <w:t>：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即组织开展停车便民服务、推进生活垃圾分类、临街建筑外立面管理、城市道路保洁提升、城乡生活垃圾清运提升、城市水域净化、深化建筑垃圾处置管理、城市道路交通设施养护、打造美丽街巷、公共卫生间便民服务、城市园林绿化提升、“照亮回家路”、居民小区物业服务提升、智慧城管优化提升、城市噪声污染防治、马路摊点治理等十六个方面专项行动，全面提升城市精细化管理水平</w:t>
      </w:r>
      <w:r>
        <w:rPr>
          <w:rFonts w:hint="eastAsia" w:ascii="新宋体" w:hAnsi="新宋体"/>
          <w:b/>
          <w:bCs/>
          <w:spacing w:val="0"/>
          <w:kern w:val="0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/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</w:pPr>
      <w:r>
        <w:rPr>
          <w:rFonts w:hint="eastAsia" w:ascii="新宋体" w:hAnsi="新宋体" w:eastAsia="黑体"/>
          <w:b/>
          <w:bCs/>
          <w:spacing w:val="0"/>
          <w:kern w:val="0"/>
          <w:szCs w:val="32"/>
          <w:lang w:val="en-US" w:eastAsia="zh-CN"/>
        </w:rPr>
        <w:t>11.“八破”：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即遵循“减量、规范、提质、美观”的整治原则，常态化开展“八破”专项整治行动，着力整治破损旗帜、破损条幅、破损广告牌匾、破损外立面、破损路名牌、破损指示牌、破损窨井盖、破损路面及路沿石等破损设施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16" w:lineRule="exact"/>
        <w:ind w:firstLine="643"/>
        <w:rPr>
          <w:rFonts w:hint="default" w:ascii="新宋体" w:hAnsi="新宋体"/>
          <w:bCs/>
          <w:spacing w:val="0"/>
          <w:lang w:val="en-US"/>
        </w:rPr>
      </w:pPr>
      <w:r>
        <w:rPr>
          <w:rFonts w:hint="eastAsia" w:ascii="新宋体" w:hAnsi="新宋体" w:eastAsia="黑体"/>
          <w:b/>
          <w:bCs/>
          <w:spacing w:val="0"/>
          <w:kern w:val="0"/>
          <w:szCs w:val="32"/>
          <w:lang w:val="en-US" w:eastAsia="zh-CN"/>
        </w:rPr>
        <w:t>12.“三变”改革：</w:t>
      </w:r>
      <w:r>
        <w:rPr>
          <w:rFonts w:hint="eastAsia" w:ascii="新宋体" w:hAnsi="新宋体" w:cs="Times New Roman"/>
          <w:b/>
          <w:bCs/>
          <w:spacing w:val="0"/>
          <w:kern w:val="0"/>
          <w:szCs w:val="32"/>
          <w:lang w:val="en-US" w:eastAsia="zh-CN"/>
        </w:rPr>
        <w:t>即“资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源变资产、资金变股金、农民变股东”的</w:t>
      </w:r>
      <w:r>
        <w:rPr>
          <w:rFonts w:hint="eastAsia" w:ascii="新宋体" w:hAnsi="新宋体" w:cs="Times New Roman"/>
          <w:b/>
          <w:bCs/>
          <w:spacing w:val="0"/>
          <w:kern w:val="0"/>
          <w:szCs w:val="32"/>
          <w:lang w:val="en-US" w:eastAsia="zh-CN"/>
        </w:rPr>
        <w:t>农村</w:t>
      </w:r>
      <w:r>
        <w:rPr>
          <w:rFonts w:hint="eastAsia" w:ascii="新宋体" w:hAnsi="新宋体"/>
          <w:b/>
          <w:bCs/>
          <w:spacing w:val="0"/>
          <w:kern w:val="0"/>
          <w:szCs w:val="32"/>
          <w:lang w:val="en-US" w:eastAsia="zh-CN"/>
        </w:rPr>
        <w:t>改革。</w:t>
      </w:r>
      <w:bookmarkStart w:id="0" w:name="_GoBack"/>
      <w:bookmarkEnd w:id="0"/>
    </w:p>
    <w:sectPr>
      <w:footerReference r:id="rId5" w:type="default"/>
      <w:pgSz w:w="11906" w:h="16838"/>
      <w:pgMar w:top="1531" w:right="1531" w:bottom="1531" w:left="1531" w:header="851" w:footer="1417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spacing w:line="240" w:lineRule="auto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Style w:val="13"/>
                              <w:rFonts w:hint="eastAsia" w:ascii="Times New Roman" w:hAnsi="Times New Roman"/>
                              <w:sz w:val="24"/>
                            </w:rPr>
                            <w:id w:val="30039538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Style w:val="13"/>
                              <w:rFonts w:hint="eastAsia" w:ascii="Times New Roman" w:hAnsi="Times New Roman"/>
                              <w:sz w:val="24"/>
                            </w:rPr>
                          </w:sdtEndPr>
                          <w:sdtContent>
                            <w:p>
                              <w:pPr>
                                <w:pStyle w:val="9"/>
                                <w:overflowPunct w:val="0"/>
                                <w:spacing w:line="240" w:lineRule="auto"/>
                                <w:rPr>
                                  <w:rStyle w:val="13"/>
                                  <w:rFonts w:ascii="Times New Roman" w:hAnsi="Times New Roman"/>
                                  <w:sz w:val="24"/>
                                </w:rPr>
                              </w:pPr>
                              <w:r>
                                <w:rPr>
                                  <w:rStyle w:val="13"/>
                                  <w:rFonts w:hint="eastAsia" w:ascii="Times New Roman" w:hAnsi="Times New Roman"/>
                                  <w:sz w:val="24"/>
                                </w:rPr>
                                <w:t>—</w:t>
                              </w:r>
                              <w:r>
                                <w:rPr>
                                  <w:rStyle w:val="13"/>
                                  <w:rFonts w:ascii="Times New Roman" w:hAnsi="Times New Roman"/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rStyle w:val="13"/>
                                  <w:rFonts w:ascii="Times New Roman" w:hAnsi="Times New Roman"/>
                                  <w:sz w:val="24"/>
                                </w:rPr>
                                <w:instrText xml:space="preserve">PAGE  </w:instrText>
                              </w:r>
                              <w:r>
                                <w:rPr>
                                  <w:rStyle w:val="13"/>
                                  <w:rFonts w:ascii="Times New Roman" w:hAnsi="Times New Roman"/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rStyle w:val="13"/>
                                  <w:rFonts w:ascii="Times New Roman" w:hAnsi="Times New Roman"/>
                                  <w:sz w:val="24"/>
                                </w:rPr>
                                <w:t>2</w:t>
                              </w:r>
                              <w:r>
                                <w:rPr>
                                  <w:rStyle w:val="13"/>
                                  <w:rFonts w:ascii="Times New Roman" w:hAnsi="Times New Roman"/>
                                  <w:sz w:val="24"/>
                                </w:rPr>
                                <w:fldChar w:fldCharType="end"/>
                              </w:r>
                              <w:r>
                                <w:rPr>
                                  <w:rStyle w:val="13"/>
                                  <w:rFonts w:hint="eastAsia" w:ascii="Times New Roman" w:hAnsi="Times New Roman"/>
                                  <w:sz w:val="24"/>
                                </w:rPr>
                                <w:t>—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Style w:val="13"/>
                        <w:rFonts w:hint="eastAsia" w:ascii="Times New Roman" w:hAnsi="Times New Roman"/>
                        <w:sz w:val="24"/>
                      </w:rPr>
                      <w:id w:val="30039538"/>
                      <w:docPartObj>
                        <w:docPartGallery w:val="autotext"/>
                      </w:docPartObj>
                    </w:sdtPr>
                    <w:sdtEndPr>
                      <w:rPr>
                        <w:rStyle w:val="13"/>
                        <w:rFonts w:hint="eastAsia" w:ascii="Times New Roman" w:hAnsi="Times New Roman"/>
                        <w:sz w:val="24"/>
                      </w:rPr>
                    </w:sdtEndPr>
                    <w:sdtContent>
                      <w:p>
                        <w:pPr>
                          <w:pStyle w:val="9"/>
                          <w:overflowPunct w:val="0"/>
                          <w:spacing w:line="240" w:lineRule="auto"/>
                          <w:rPr>
                            <w:rStyle w:val="13"/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Style w:val="13"/>
                            <w:rFonts w:hint="eastAsia" w:ascii="Times New Roman" w:hAnsi="Times New Roman"/>
                            <w:sz w:val="24"/>
                          </w:rPr>
                          <w:t>—</w:t>
                        </w:r>
                        <w:r>
                          <w:rPr>
                            <w:rStyle w:val="13"/>
                            <w:rFonts w:ascii="Times New Roman" w:hAnsi="Times New Roman"/>
                            <w:sz w:val="24"/>
                          </w:rPr>
                          <w:fldChar w:fldCharType="begin"/>
                        </w:r>
                        <w:r>
                          <w:rPr>
                            <w:rStyle w:val="13"/>
                            <w:rFonts w:ascii="Times New Roman" w:hAnsi="Times New Roman"/>
                            <w:sz w:val="24"/>
                          </w:rPr>
                          <w:instrText xml:space="preserve">PAGE  </w:instrText>
                        </w:r>
                        <w:r>
                          <w:rPr>
                            <w:rStyle w:val="13"/>
                            <w:rFonts w:ascii="Times New Roman" w:hAnsi="Times New Roman"/>
                            <w:sz w:val="24"/>
                          </w:rPr>
                          <w:fldChar w:fldCharType="separate"/>
                        </w:r>
                        <w:r>
                          <w:rPr>
                            <w:rStyle w:val="13"/>
                            <w:rFonts w:ascii="Times New Roman" w:hAnsi="Times New Roman"/>
                            <w:sz w:val="24"/>
                          </w:rPr>
                          <w:t>2</w:t>
                        </w:r>
                        <w:r>
                          <w:rPr>
                            <w:rStyle w:val="13"/>
                            <w:rFonts w:ascii="Times New Roman" w:hAnsi="Times New Roman"/>
                            <w:sz w:val="24"/>
                          </w:rPr>
                          <w:fldChar w:fldCharType="end"/>
                        </w:r>
                        <w:r>
                          <w:rPr>
                            <w:rStyle w:val="13"/>
                            <w:rFonts w:hint="eastAsia" w:ascii="Times New Roman" w:hAnsi="Times New Roman"/>
                            <w:sz w:val="24"/>
                          </w:rPr>
                          <w:t>—</w:t>
                        </w:r>
                      </w:p>
                    </w:sdtContent>
                  </w:sdt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NDg5ZmRhMzYzY2IxMDQ0ZjM5MWM4YzllYmJiYzkifQ=="/>
  </w:docVars>
  <w:rsids>
    <w:rsidRoot w:val="5EC862DA"/>
    <w:rsid w:val="000A5156"/>
    <w:rsid w:val="001350BC"/>
    <w:rsid w:val="00C23D19"/>
    <w:rsid w:val="00D16AE5"/>
    <w:rsid w:val="02025461"/>
    <w:rsid w:val="082C0601"/>
    <w:rsid w:val="0C13779A"/>
    <w:rsid w:val="0E43308A"/>
    <w:rsid w:val="0EA0672E"/>
    <w:rsid w:val="14C16F04"/>
    <w:rsid w:val="16C00BFA"/>
    <w:rsid w:val="1A545F93"/>
    <w:rsid w:val="1AE35CDF"/>
    <w:rsid w:val="1CBE33B0"/>
    <w:rsid w:val="1D951B27"/>
    <w:rsid w:val="217665A5"/>
    <w:rsid w:val="23051A6C"/>
    <w:rsid w:val="26FD2518"/>
    <w:rsid w:val="29C37FBC"/>
    <w:rsid w:val="2B1264C8"/>
    <w:rsid w:val="2B8A418B"/>
    <w:rsid w:val="2CCB2BA8"/>
    <w:rsid w:val="34985783"/>
    <w:rsid w:val="352A7547"/>
    <w:rsid w:val="36A01F9B"/>
    <w:rsid w:val="38B25E22"/>
    <w:rsid w:val="38F65019"/>
    <w:rsid w:val="3A795098"/>
    <w:rsid w:val="3B225C51"/>
    <w:rsid w:val="3F0A7128"/>
    <w:rsid w:val="41270465"/>
    <w:rsid w:val="41C932CA"/>
    <w:rsid w:val="450F166A"/>
    <w:rsid w:val="469D2F78"/>
    <w:rsid w:val="49B3129A"/>
    <w:rsid w:val="4AF3767C"/>
    <w:rsid w:val="4C8F6D6C"/>
    <w:rsid w:val="4E4A12EF"/>
    <w:rsid w:val="4F10078B"/>
    <w:rsid w:val="5076694F"/>
    <w:rsid w:val="552449F8"/>
    <w:rsid w:val="552951EE"/>
    <w:rsid w:val="57240E50"/>
    <w:rsid w:val="5A3910C8"/>
    <w:rsid w:val="5AFD593B"/>
    <w:rsid w:val="5C225659"/>
    <w:rsid w:val="5EC862DA"/>
    <w:rsid w:val="641B6CFA"/>
    <w:rsid w:val="648444E3"/>
    <w:rsid w:val="669D372C"/>
    <w:rsid w:val="69A27DD9"/>
    <w:rsid w:val="69DF2FB6"/>
    <w:rsid w:val="6B94500B"/>
    <w:rsid w:val="6DB477D6"/>
    <w:rsid w:val="6E4A0BBC"/>
    <w:rsid w:val="70860455"/>
    <w:rsid w:val="70E62CA2"/>
    <w:rsid w:val="7219752B"/>
    <w:rsid w:val="77543DD8"/>
    <w:rsid w:val="7DE40569"/>
    <w:rsid w:val="7F08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djustRightInd w:val="0"/>
      <w:snapToGrid w:val="0"/>
      <w:spacing w:line="560" w:lineRule="exact"/>
      <w:jc w:val="both"/>
    </w:pPr>
    <w:rPr>
      <w:rFonts w:ascii="Calibri" w:hAnsi="Calibri" w:eastAsia="方正仿宋简体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jc w:val="center"/>
      <w:outlineLvl w:val="0"/>
    </w:pPr>
    <w:rPr>
      <w:rFonts w:eastAsia="方正小标宋简体"/>
      <w:kern w:val="44"/>
      <w:sz w:val="44"/>
    </w:rPr>
  </w:style>
  <w:style w:type="paragraph" w:styleId="4">
    <w:name w:val="heading 2"/>
    <w:basedOn w:val="1"/>
    <w:next w:val="1"/>
    <w:link w:val="14"/>
    <w:autoRedefine/>
    <w:semiHidden/>
    <w:unhideWhenUsed/>
    <w:qFormat/>
    <w:uiPriority w:val="0"/>
    <w:pPr>
      <w:spacing w:line="520" w:lineRule="exact"/>
      <w:ind w:firstLine="880" w:firstLineChars="200"/>
      <w:outlineLvl w:val="1"/>
    </w:pPr>
    <w:rPr>
      <w:rFonts w:ascii="Arial" w:hAnsi="Arial" w:eastAsia="黑体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ind w:firstLine="880" w:firstLineChars="200"/>
      <w:outlineLvl w:val="2"/>
    </w:pPr>
    <w:rPr>
      <w:rFonts w:eastAsia="方正楷体简体"/>
    </w:rPr>
  </w:style>
  <w:style w:type="paragraph" w:styleId="6">
    <w:name w:val="heading 4"/>
    <w:basedOn w:val="1"/>
    <w:next w:val="1"/>
    <w:autoRedefine/>
    <w:semiHidden/>
    <w:unhideWhenUsed/>
    <w:qFormat/>
    <w:uiPriority w:val="0"/>
    <w:pPr>
      <w:keepNext/>
      <w:keepLines/>
      <w:outlineLvl w:val="3"/>
    </w:pPr>
    <w:rPr>
      <w:rFonts w:ascii="Arial" w:hAnsi="Arial"/>
      <w:szCs w:val="32"/>
    </w:rPr>
  </w:style>
  <w:style w:type="paragraph" w:styleId="2">
    <w:name w:val="heading 5"/>
    <w:basedOn w:val="1"/>
    <w:next w:val="1"/>
    <w:autoRedefine/>
    <w:semiHidden/>
    <w:unhideWhenUsed/>
    <w:qFormat/>
    <w:uiPriority w:val="0"/>
    <w:pPr>
      <w:keepNext/>
      <w:keepLines/>
      <w:overflowPunct w:val="0"/>
      <w:autoSpaceDE w:val="0"/>
      <w:autoSpaceDN w:val="0"/>
      <w:ind w:firstLine="880" w:firstLineChars="200"/>
      <w:textAlignment w:val="baseline"/>
      <w:outlineLvl w:val="4"/>
    </w:pPr>
    <w:rPr>
      <w:rFonts w:ascii="Times New Roman" w:hAnsi="Times New Roman"/>
      <w:bCs/>
      <w:szCs w:val="28"/>
    </w:rPr>
  </w:style>
  <w:style w:type="paragraph" w:styleId="7">
    <w:name w:val="heading 6"/>
    <w:basedOn w:val="1"/>
    <w:next w:val="1"/>
    <w:autoRedefine/>
    <w:semiHidden/>
    <w:unhideWhenUsed/>
    <w:qFormat/>
    <w:uiPriority w:val="0"/>
    <w:pPr>
      <w:keepNext/>
      <w:keepLines/>
      <w:outlineLvl w:val="5"/>
    </w:pPr>
    <w:rPr>
      <w:rFonts w:ascii="Arial" w:hAnsi="Arial" w:eastAsia="仿宋_GB2312"/>
    </w:rPr>
  </w:style>
  <w:style w:type="paragraph" w:styleId="8">
    <w:name w:val="heading 7"/>
    <w:basedOn w:val="1"/>
    <w:next w:val="1"/>
    <w:autoRedefine/>
    <w:semiHidden/>
    <w:unhideWhenUsed/>
    <w:qFormat/>
    <w:uiPriority w:val="0"/>
    <w:pPr>
      <w:keepNext/>
      <w:keepLines/>
      <w:spacing w:line="560" w:lineRule="atLeast"/>
      <w:outlineLvl w:val="6"/>
    </w:p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10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pacing w:line="240" w:lineRule="auto"/>
    </w:pPr>
    <w:rPr>
      <w:sz w:val="18"/>
    </w:rPr>
  </w:style>
  <w:style w:type="character" w:styleId="13">
    <w:name w:val="page number"/>
    <w:basedOn w:val="12"/>
    <w:autoRedefine/>
    <w:unhideWhenUsed/>
    <w:qFormat/>
    <w:uiPriority w:val="99"/>
  </w:style>
  <w:style w:type="character" w:customStyle="1" w:styleId="14">
    <w:name w:val="标题 2 Char"/>
    <w:link w:val="4"/>
    <w:autoRedefine/>
    <w:qFormat/>
    <w:uiPriority w:val="0"/>
    <w:rPr>
      <w:rFonts w:ascii="Arial" w:hAnsi="Arial" w:eastAsia="黑体" w:cs="Times New Roman"/>
      <w:sz w:val="32"/>
    </w:rPr>
  </w:style>
  <w:style w:type="character" w:customStyle="1" w:styleId="15">
    <w:name w:val="页脚 Char"/>
    <w:basedOn w:val="12"/>
    <w:link w:val="9"/>
    <w:autoRedefine/>
    <w:qFormat/>
    <w:uiPriority w:val="99"/>
    <w:rPr>
      <w:rFonts w:ascii="Calibri" w:hAnsi="Calibri" w:eastAsia="方正仿宋简体" w:cs="Times New Roman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875</Words>
  <Characters>910</Characters>
  <Lines>6</Lines>
  <Paragraphs>1</Paragraphs>
  <TotalTime>22</TotalTime>
  <ScaleCrop>false</ScaleCrop>
  <LinksUpToDate>false</LinksUpToDate>
  <CharactersWithSpaces>910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2023-01-03T01:16:00Z</dcterms:created>
  <dc:creator>尽人事听天命</dc:creator>
  <cp:lastModifiedBy>尽人事听天命</cp:lastModifiedBy>
  <cp:lastPrinted>2024-01-16T09:21:28Z</cp:lastPrinted>
  <dcterms:modified xsi:type="dcterms:W3CDTF">2024-01-16T09:22:39Z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3991B7054E344FBFA9495DD642BF0016_13</vt:lpwstr>
  </property>
</Properties>
</file>